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95" w:rsidRPr="00E5258A" w:rsidRDefault="00436D95" w:rsidP="00436D9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5258A">
        <w:rPr>
          <w:rFonts w:ascii="Arial" w:hAnsi="Arial" w:cs="Arial"/>
          <w:b/>
          <w:sz w:val="22"/>
          <w:szCs w:val="22"/>
        </w:rPr>
        <w:t xml:space="preserve">SUPUESTOS </w:t>
      </w:r>
      <w:r w:rsidR="00C41B99" w:rsidRPr="00E5258A">
        <w:rPr>
          <w:rFonts w:ascii="Arial" w:hAnsi="Arial" w:cs="Arial"/>
          <w:b/>
          <w:sz w:val="22"/>
          <w:szCs w:val="22"/>
        </w:rPr>
        <w:t>MACROECONÓMICOS</w:t>
      </w:r>
    </w:p>
    <w:p w:rsidR="00436D95" w:rsidRPr="00E5258A" w:rsidRDefault="00436D95" w:rsidP="00436D95">
      <w:pPr>
        <w:jc w:val="both"/>
        <w:rPr>
          <w:rFonts w:ascii="Arial" w:hAnsi="Arial" w:cs="Arial"/>
          <w:sz w:val="22"/>
          <w:szCs w:val="22"/>
        </w:rPr>
      </w:pPr>
    </w:p>
    <w:p w:rsidR="00436D95" w:rsidRPr="00E5258A" w:rsidRDefault="00436D95" w:rsidP="00436D95">
      <w:pPr>
        <w:jc w:val="both"/>
        <w:rPr>
          <w:rFonts w:ascii="Arial" w:hAnsi="Arial" w:cs="Arial"/>
          <w:sz w:val="22"/>
          <w:szCs w:val="22"/>
        </w:rPr>
      </w:pPr>
      <w:r w:rsidRPr="00E5258A">
        <w:rPr>
          <w:rFonts w:ascii="Arial" w:hAnsi="Arial" w:cs="Arial"/>
          <w:sz w:val="22"/>
          <w:szCs w:val="22"/>
        </w:rPr>
        <w:t>A continuación se presentan las proyecciones de las principales variables de la economía, que las entidades deben tener en cuenta en la programación presupuestal</w:t>
      </w:r>
      <w:r>
        <w:rPr>
          <w:rFonts w:ascii="Arial" w:hAnsi="Arial" w:cs="Arial"/>
          <w:sz w:val="22"/>
          <w:szCs w:val="22"/>
        </w:rPr>
        <w:t xml:space="preserve">. </w:t>
      </w:r>
      <w:r w:rsidRPr="00E5258A">
        <w:rPr>
          <w:rFonts w:ascii="Arial" w:hAnsi="Arial" w:cs="Arial"/>
          <w:sz w:val="22"/>
          <w:szCs w:val="22"/>
        </w:rPr>
        <w:t>Si se modifican estos supuestos, la Secretaría Distrital de Hacienda realizará los ajustes respectivos y los comunicará oportunamente</w:t>
      </w:r>
      <w:r>
        <w:rPr>
          <w:rFonts w:ascii="Arial" w:hAnsi="Arial" w:cs="Arial"/>
          <w:sz w:val="22"/>
          <w:szCs w:val="22"/>
        </w:rPr>
        <w:t xml:space="preserve"> a través de la página WEB</w:t>
      </w:r>
      <w:r w:rsidRPr="00E5258A">
        <w:rPr>
          <w:rFonts w:ascii="Arial" w:hAnsi="Arial" w:cs="Arial"/>
          <w:sz w:val="22"/>
          <w:szCs w:val="22"/>
        </w:rPr>
        <w:t>.</w:t>
      </w:r>
    </w:p>
    <w:p w:rsidR="00436D95" w:rsidRPr="00E5258A" w:rsidRDefault="00436D95" w:rsidP="00436D9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6D95" w:rsidRPr="00E5258A" w:rsidRDefault="00436D95" w:rsidP="00436D95">
      <w:pPr>
        <w:jc w:val="center"/>
        <w:rPr>
          <w:rFonts w:ascii="Arial" w:hAnsi="Arial" w:cs="Arial"/>
          <w:sz w:val="22"/>
          <w:szCs w:val="22"/>
        </w:rPr>
      </w:pPr>
      <w:r w:rsidRPr="00E5258A">
        <w:rPr>
          <w:rFonts w:ascii="Arial" w:hAnsi="Arial" w:cs="Arial"/>
          <w:b/>
          <w:bCs/>
          <w:sz w:val="22"/>
          <w:szCs w:val="22"/>
          <w:lang w:val="es-MX"/>
        </w:rPr>
        <w:t>Supuestos Macroeconómicos</w:t>
      </w:r>
    </w:p>
    <w:p w:rsidR="00436D95" w:rsidRDefault="00436D95" w:rsidP="00436D95">
      <w:pPr>
        <w:ind w:left="-2268" w:right="-2380"/>
        <w:jc w:val="center"/>
        <w:rPr>
          <w:rFonts w:ascii="Arial" w:hAnsi="Arial" w:cs="Arial"/>
          <w:sz w:val="24"/>
          <w:szCs w:val="24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36D95" w:rsidRPr="00C16586" w:rsidTr="006C1F77">
        <w:trPr>
          <w:trHeight w:val="330"/>
        </w:trPr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Detalle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2013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2019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2020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2021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2023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2024</w:t>
            </w:r>
          </w:p>
        </w:tc>
      </w:tr>
      <w:tr w:rsidR="00436D95" w:rsidRPr="00C16586" w:rsidTr="006C1F77">
        <w:trPr>
          <w:trHeight w:val="630"/>
        </w:trPr>
        <w:tc>
          <w:tcPr>
            <w:tcW w:w="9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Variación IPC fin de período 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3,0</w:t>
            </w:r>
          </w:p>
        </w:tc>
      </w:tr>
      <w:tr w:rsidR="00436D95" w:rsidRPr="00C16586" w:rsidTr="006C1F77">
        <w:trPr>
          <w:trHeight w:val="630"/>
        </w:trPr>
        <w:tc>
          <w:tcPr>
            <w:tcW w:w="9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Tasa de cambio USD COP fin de período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1.899,5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1.914,4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1.935,0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1.953,0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1.967,6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1.981,7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2.003,2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2.023,2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2.043,4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2.063,9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2.084,5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 xml:space="preserve">   2.105,4 </w:t>
            </w:r>
          </w:p>
        </w:tc>
      </w:tr>
      <w:tr w:rsidR="00436D95" w:rsidRPr="00C16586" w:rsidTr="006C1F77">
        <w:trPr>
          <w:trHeight w:val="630"/>
        </w:trPr>
        <w:tc>
          <w:tcPr>
            <w:tcW w:w="9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Devaluación Fin período 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0,7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0,7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1,0</w:t>
            </w:r>
          </w:p>
        </w:tc>
      </w:tr>
      <w:tr w:rsidR="00436D95" w:rsidRPr="00C16586" w:rsidTr="006C1F77">
        <w:trPr>
          <w:trHeight w:val="315"/>
        </w:trPr>
        <w:tc>
          <w:tcPr>
            <w:tcW w:w="9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Variación PIB % Bogotá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4,5</w:t>
            </w:r>
          </w:p>
        </w:tc>
      </w:tr>
      <w:tr w:rsidR="00436D95" w:rsidRPr="00C16586" w:rsidTr="006C1F77">
        <w:trPr>
          <w:trHeight w:val="960"/>
        </w:trPr>
        <w:tc>
          <w:tcPr>
            <w:tcW w:w="9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rPr>
                <w:b/>
                <w:bCs/>
                <w:color w:val="000000"/>
                <w:sz w:val="16"/>
                <w:szCs w:val="16"/>
                <w:lang w:val="en-US" w:eastAsia="es-CO"/>
              </w:rPr>
            </w:pPr>
            <w:r w:rsidRPr="00C16586">
              <w:rPr>
                <w:b/>
                <w:bCs/>
                <w:color w:val="000000"/>
                <w:sz w:val="16"/>
                <w:szCs w:val="16"/>
                <w:lang w:val="en-US" w:eastAsia="es-CO"/>
              </w:rPr>
              <w:t>Six-month London interbank offered rate (LIBOR) (%)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0,460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0,608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jc w:val="right"/>
              <w:rPr>
                <w:color w:val="000000"/>
                <w:sz w:val="16"/>
                <w:szCs w:val="16"/>
                <w:lang w:val="es-CO" w:eastAsia="es-CO"/>
              </w:rPr>
            </w:pPr>
            <w:r w:rsidRPr="00C16586">
              <w:rPr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</w:tr>
      <w:tr w:rsidR="00436D95" w:rsidRPr="00C16586" w:rsidTr="006C1F77">
        <w:trPr>
          <w:trHeight w:val="510"/>
        </w:trPr>
        <w:tc>
          <w:tcPr>
            <w:tcW w:w="5000" w:type="pct"/>
            <w:gridSpan w:val="1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D95" w:rsidRPr="00C16586" w:rsidRDefault="00436D95" w:rsidP="006C1F77">
            <w:pPr>
              <w:rPr>
                <w:sz w:val="16"/>
                <w:szCs w:val="16"/>
                <w:lang w:val="es-CO" w:eastAsia="es-CO"/>
              </w:rPr>
            </w:pPr>
            <w:r w:rsidRPr="00C16586">
              <w:rPr>
                <w:sz w:val="16"/>
                <w:szCs w:val="16"/>
                <w:lang w:val="es-CO" w:eastAsia="es-CO"/>
              </w:rPr>
              <w:t xml:space="preserve">Fuente: IPC, Tasa de Cambio, y devaluación según supuestos macro del 19 de junio de 2013 del Ministerio de Hacienda y Crédito Público, Marco Fiscal de Mediano Plazo-MFMP Nación. PIB Bogotá: según estimaciones de la Dirección de Estadísticas y Estudios Fiscales-DEEF de la Secretaría Distrital de Hacienda-SDH. Libor 2013-2014 según </w:t>
            </w:r>
            <w:proofErr w:type="spellStart"/>
            <w:r w:rsidRPr="00C16586">
              <w:rPr>
                <w:sz w:val="16"/>
                <w:szCs w:val="16"/>
                <w:lang w:val="es-CO" w:eastAsia="es-CO"/>
              </w:rPr>
              <w:t>World</w:t>
            </w:r>
            <w:proofErr w:type="spellEnd"/>
            <w:r w:rsidRPr="00C16586">
              <w:rPr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C16586">
              <w:rPr>
                <w:sz w:val="16"/>
                <w:szCs w:val="16"/>
                <w:lang w:val="es-CO" w:eastAsia="es-CO"/>
              </w:rPr>
              <w:t>Economic</w:t>
            </w:r>
            <w:proofErr w:type="spellEnd"/>
            <w:r w:rsidRPr="00C16586">
              <w:rPr>
                <w:sz w:val="16"/>
                <w:szCs w:val="16"/>
                <w:lang w:val="es-CO" w:eastAsia="es-CO"/>
              </w:rPr>
              <w:t xml:space="preserve"> Outlook </w:t>
            </w:r>
            <w:proofErr w:type="spellStart"/>
            <w:r w:rsidRPr="00C16586">
              <w:rPr>
                <w:sz w:val="16"/>
                <w:szCs w:val="16"/>
                <w:lang w:val="es-CO" w:eastAsia="es-CO"/>
              </w:rPr>
              <w:t>Database</w:t>
            </w:r>
            <w:proofErr w:type="spellEnd"/>
            <w:r w:rsidRPr="00C16586">
              <w:rPr>
                <w:sz w:val="16"/>
                <w:szCs w:val="16"/>
                <w:lang w:val="es-CO" w:eastAsia="es-CO"/>
              </w:rPr>
              <w:t xml:space="preserve"> IFM.</w:t>
            </w:r>
          </w:p>
        </w:tc>
      </w:tr>
      <w:tr w:rsidR="00436D95" w:rsidRPr="00C16586" w:rsidTr="006C1F77">
        <w:trPr>
          <w:trHeight w:val="375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6D95" w:rsidRPr="00C16586" w:rsidRDefault="00436D95" w:rsidP="006C1F77">
            <w:pPr>
              <w:rPr>
                <w:sz w:val="16"/>
                <w:szCs w:val="16"/>
                <w:lang w:val="es-CO" w:eastAsia="es-CO"/>
              </w:rPr>
            </w:pPr>
          </w:p>
        </w:tc>
      </w:tr>
    </w:tbl>
    <w:p w:rsidR="00436D95" w:rsidRPr="005E09CE" w:rsidRDefault="00436D95" w:rsidP="00436D95">
      <w:pPr>
        <w:tabs>
          <w:tab w:val="left" w:pos="4570"/>
        </w:tabs>
        <w:rPr>
          <w:rFonts w:ascii="Arial" w:hAnsi="Arial" w:cs="Arial"/>
          <w:sz w:val="24"/>
          <w:szCs w:val="24"/>
          <w:lang w:val="es-CO"/>
        </w:rPr>
      </w:pPr>
    </w:p>
    <w:p w:rsidR="00606463" w:rsidRPr="00436D95" w:rsidRDefault="00606463" w:rsidP="00436D95"/>
    <w:sectPr w:rsidR="00606463" w:rsidRPr="00436D95" w:rsidSect="00A13505">
      <w:headerReference w:type="default" r:id="rId8"/>
      <w:footerReference w:type="even" r:id="rId9"/>
      <w:footerReference w:type="default" r:id="rId10"/>
      <w:pgSz w:w="12242" w:h="15842" w:code="1"/>
      <w:pgMar w:top="1985" w:right="1701" w:bottom="1985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2E" w:rsidRDefault="0078702E">
      <w:r>
        <w:separator/>
      </w:r>
    </w:p>
  </w:endnote>
  <w:endnote w:type="continuationSeparator" w:id="0">
    <w:p w:rsidR="0078702E" w:rsidRDefault="007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2D" w:rsidRDefault="005B322D">
    <w:pPr>
      <w:pStyle w:val="Piedepgina"/>
    </w:pPr>
  </w:p>
  <w:p w:rsidR="00FA5EE7" w:rsidRDefault="00436D95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:rsidR="005B322D" w:rsidRDefault="005B322D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+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" filled="f" stroked="f">
              <v:textbox>
                <w:txbxContent>
                  <w:p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:rsidR="005B322D" w:rsidRDefault="005B322D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CE" w:rsidRDefault="00436D95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-403860</wp:posOffset>
          </wp:positionV>
          <wp:extent cx="1801495" cy="719455"/>
          <wp:effectExtent l="0" t="0" r="8255" b="4445"/>
          <wp:wrapNone/>
          <wp:docPr id="148" name="Imagen 148" descr="Base con logos 2012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Base con logos 2012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-405765</wp:posOffset>
              </wp:positionV>
              <wp:extent cx="0" cy="720090"/>
              <wp:effectExtent l="0" t="0" r="0" b="0"/>
              <wp:wrapNone/>
              <wp:docPr id="3" name="AutoShap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D4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0" o:spid="_x0000_s1026" type="#_x0000_t32" style="position:absolute;margin-left:100.2pt;margin-top:-31.95pt;width:0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rxHgIAAD0EAAAOAAAAZHJzL2Uyb0RvYy54bWysU9uO2yAQfa/Uf0C8J7azbi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" strokeweight="1pt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4487545</wp:posOffset>
          </wp:positionH>
          <wp:positionV relativeFrom="paragraph">
            <wp:posOffset>-407035</wp:posOffset>
          </wp:positionV>
          <wp:extent cx="1125220" cy="723265"/>
          <wp:effectExtent l="0" t="0" r="0" b="635"/>
          <wp:wrapNone/>
          <wp:docPr id="135" name="Imagen 135" descr="Logo_bogota_humana-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Logo_bogota_humana-b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6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-421640</wp:posOffset>
              </wp:positionV>
              <wp:extent cx="1192530" cy="75247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2DC" w:rsidRPr="00727C70" w:rsidRDefault="00086716" w:rsidP="0008671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27C70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Sede Administrativa CAD </w:t>
                          </w:r>
                        </w:p>
                        <w:p w:rsidR="005909CE" w:rsidRPr="00727C70" w:rsidRDefault="00086716" w:rsidP="00086716">
                          <w:pP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Carrera 30 N° 25 </w:t>
                          </w:r>
                          <w:r w:rsid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-</w:t>
                          </w:r>
                          <w:r w:rsidRP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 90</w:t>
                          </w:r>
                        </w:p>
                        <w:p w:rsidR="00727C70" w:rsidRDefault="00086716" w:rsidP="00B45243">
                          <w:pPr>
                            <w:spacing w:before="20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27C70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Sede Dirección Distrital de </w:t>
                          </w:r>
                        </w:p>
                        <w:p w:rsidR="001C32DC" w:rsidRPr="00727C70" w:rsidRDefault="00086716" w:rsidP="00727C7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27C70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Impuestos de Bogotá</w:t>
                          </w:r>
                          <w:r w:rsidR="00CB71E9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727C70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DIB </w:t>
                          </w:r>
                        </w:p>
                        <w:p w:rsidR="00086716" w:rsidRPr="00727C70" w:rsidRDefault="00086716" w:rsidP="00086716">
                          <w:pP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Av. Calle 17 N° 65 B </w:t>
                          </w:r>
                          <w:r w:rsid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-</w:t>
                          </w:r>
                          <w:r w:rsidRP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 95</w:t>
                          </w:r>
                        </w:p>
                        <w:p w:rsidR="00214346" w:rsidRPr="00727C70" w:rsidRDefault="00214346" w:rsidP="00B45243">
                          <w:pPr>
                            <w:spacing w:before="20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27C70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PBX</w:t>
                          </w:r>
                          <w:r w:rsidRP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 (571) 369 2700 - 338 5000</w:t>
                          </w:r>
                        </w:p>
                        <w:p w:rsidR="00CB71E9" w:rsidRPr="00B45243" w:rsidRDefault="00CB71E9" w:rsidP="00CB71E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s-CO"/>
                            </w:rPr>
                          </w:pPr>
                          <w:r w:rsidRPr="00B45243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es-CO"/>
                            </w:rPr>
                            <w:t>www.haciendabogota.gov.co</w:t>
                          </w:r>
                        </w:p>
                        <w:p w:rsidR="00727C70" w:rsidRPr="00727C70" w:rsidRDefault="00B45243" w:rsidP="00214346">
                          <w:pP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Información: </w:t>
                          </w:r>
                          <w:r w:rsidR="00214346" w:rsidRPr="00134C5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Línea</w:t>
                          </w:r>
                          <w:r w:rsidR="00214346" w:rsidRPr="00727C70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="00214346" w:rsidRPr="00727C70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195</w:t>
                          </w:r>
                        </w:p>
                        <w:p w:rsidR="00CB71E9" w:rsidRDefault="00CB71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-.05pt;margin-top:-33.2pt;width:93.9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PpfA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" stroked="f">
              <v:textbox inset="0,0,0,0">
                <w:txbxContent>
                  <w:p w:rsidR="001C32DC" w:rsidRPr="00727C70" w:rsidRDefault="00086716" w:rsidP="00086716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727C70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Sede Administrativa CAD </w:t>
                    </w:r>
                  </w:p>
                  <w:p w:rsidR="005909CE" w:rsidRPr="00727C70" w:rsidRDefault="00086716" w:rsidP="00086716">
                    <w:pP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Carrera 30 N° 25 </w:t>
                    </w:r>
                    <w:r w:rsid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-</w:t>
                    </w:r>
                    <w:r w:rsidRP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 90</w:t>
                    </w:r>
                  </w:p>
                  <w:p w:rsidR="00727C70" w:rsidRDefault="00086716" w:rsidP="00B45243">
                    <w:pPr>
                      <w:spacing w:before="2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727C70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Sede Dirección Distrital de </w:t>
                    </w:r>
                  </w:p>
                  <w:p w:rsidR="001C32DC" w:rsidRPr="00727C70" w:rsidRDefault="00086716" w:rsidP="00727C70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727C70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Impuestos de Bogotá</w:t>
                    </w:r>
                    <w:r w:rsidR="00CB71E9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- </w:t>
                    </w:r>
                    <w:r w:rsidRPr="00727C70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DIB </w:t>
                    </w:r>
                  </w:p>
                  <w:p w:rsidR="00086716" w:rsidRPr="00727C70" w:rsidRDefault="00086716" w:rsidP="00086716">
                    <w:pP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Av. Calle 17 N° 65 B </w:t>
                    </w:r>
                    <w:r w:rsid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-</w:t>
                    </w:r>
                    <w:r w:rsidRP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 95</w:t>
                    </w:r>
                  </w:p>
                  <w:p w:rsidR="00214346" w:rsidRPr="00727C70" w:rsidRDefault="00214346" w:rsidP="00B45243">
                    <w:pPr>
                      <w:spacing w:before="20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727C70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PBX</w:t>
                    </w:r>
                    <w:r w:rsidRP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 (571) 369 2700 - 338 5000</w:t>
                    </w:r>
                  </w:p>
                  <w:p w:rsidR="00CB71E9" w:rsidRPr="00B45243" w:rsidRDefault="00CB71E9" w:rsidP="00CB71E9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s-CO"/>
                      </w:rPr>
                    </w:pPr>
                    <w:r w:rsidRPr="00B45243">
                      <w:rPr>
                        <w:rFonts w:ascii="Arial" w:hAnsi="Arial" w:cs="Arial"/>
                        <w:bCs/>
                        <w:sz w:val="12"/>
                        <w:szCs w:val="12"/>
                        <w:lang w:val="es-CO"/>
                      </w:rPr>
                      <w:t>www.haciendabogota.gov.co</w:t>
                    </w:r>
                  </w:p>
                  <w:p w:rsidR="00727C70" w:rsidRPr="00727C70" w:rsidRDefault="00B45243" w:rsidP="00214346">
                    <w:pP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Información: </w:t>
                    </w:r>
                    <w:r w:rsidR="00214346" w:rsidRPr="00134C5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Línea</w:t>
                    </w:r>
                    <w:r w:rsidR="00214346" w:rsidRPr="00727C70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="00214346" w:rsidRPr="00727C70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195</w:t>
                    </w:r>
                  </w:p>
                  <w:p w:rsidR="00CB71E9" w:rsidRDefault="00CB71E9"/>
                </w:txbxContent>
              </v:textbox>
            </v:shape>
          </w:pict>
        </mc:Fallback>
      </mc:AlternateContent>
    </w:r>
    <w:r w:rsidR="00B45243">
      <w:rPr>
        <w:rFonts w:ascii="Arial" w:hAnsi="Arial" w:cs="Arial"/>
        <w:b/>
        <w:bCs/>
      </w:rPr>
      <w:t>Información</w:t>
    </w:r>
  </w:p>
  <w:p w:rsidR="00FA5EE7" w:rsidRDefault="00FA5EE7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2E" w:rsidRDefault="0078702E">
      <w:r>
        <w:separator/>
      </w:r>
    </w:p>
  </w:footnote>
  <w:footnote w:type="continuationSeparator" w:id="0">
    <w:p w:rsidR="0078702E" w:rsidRDefault="0078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E7" w:rsidRPr="00B50543" w:rsidRDefault="00436D95">
    <w:pPr>
      <w:pStyle w:val="Encabezado"/>
      <w:jc w:val="center"/>
      <w:rPr>
        <w:lang w:val="es-CO"/>
      </w:rPr>
    </w:pPr>
    <w:r>
      <w:rPr>
        <w:noProof/>
        <w:lang w:val="es-CO" w:eastAsia="es-CO"/>
      </w:rPr>
      <w:drawing>
        <wp:inline distT="0" distB="0" distL="0" distR="0">
          <wp:extent cx="591820" cy="690245"/>
          <wp:effectExtent l="0" t="0" r="0" b="0"/>
          <wp:docPr id="1" name="Imagen 1" descr="Hacienda 2012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cienda 2012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9"/>
    <w:rsid w:val="00022CB6"/>
    <w:rsid w:val="00030530"/>
    <w:rsid w:val="00033018"/>
    <w:rsid w:val="0004540C"/>
    <w:rsid w:val="00067FD9"/>
    <w:rsid w:val="00086716"/>
    <w:rsid w:val="000A6096"/>
    <w:rsid w:val="000A7B8D"/>
    <w:rsid w:val="00102F28"/>
    <w:rsid w:val="00134C57"/>
    <w:rsid w:val="00142967"/>
    <w:rsid w:val="0017691F"/>
    <w:rsid w:val="001B4DD7"/>
    <w:rsid w:val="001C0F4E"/>
    <w:rsid w:val="001C1114"/>
    <w:rsid w:val="001C32DC"/>
    <w:rsid w:val="001C4486"/>
    <w:rsid w:val="001F2232"/>
    <w:rsid w:val="002125D9"/>
    <w:rsid w:val="00214346"/>
    <w:rsid w:val="00245AE3"/>
    <w:rsid w:val="00246BA7"/>
    <w:rsid w:val="002B1E4D"/>
    <w:rsid w:val="002B26FC"/>
    <w:rsid w:val="00307794"/>
    <w:rsid w:val="00307F5F"/>
    <w:rsid w:val="00395DC6"/>
    <w:rsid w:val="003D127A"/>
    <w:rsid w:val="003D7D8D"/>
    <w:rsid w:val="00427DA2"/>
    <w:rsid w:val="00436D95"/>
    <w:rsid w:val="004643B6"/>
    <w:rsid w:val="004818D8"/>
    <w:rsid w:val="00492BD6"/>
    <w:rsid w:val="004F59DD"/>
    <w:rsid w:val="004F79FD"/>
    <w:rsid w:val="00547B73"/>
    <w:rsid w:val="005562ED"/>
    <w:rsid w:val="005909CE"/>
    <w:rsid w:val="005B322D"/>
    <w:rsid w:val="005E5AAC"/>
    <w:rsid w:val="00606463"/>
    <w:rsid w:val="00640601"/>
    <w:rsid w:val="00685455"/>
    <w:rsid w:val="006B2196"/>
    <w:rsid w:val="006C3B48"/>
    <w:rsid w:val="006E63B0"/>
    <w:rsid w:val="00703B87"/>
    <w:rsid w:val="00727C70"/>
    <w:rsid w:val="00747413"/>
    <w:rsid w:val="0076059E"/>
    <w:rsid w:val="00767E66"/>
    <w:rsid w:val="0078702E"/>
    <w:rsid w:val="007F15CC"/>
    <w:rsid w:val="007F7A9B"/>
    <w:rsid w:val="00813CC7"/>
    <w:rsid w:val="00815215"/>
    <w:rsid w:val="00895E77"/>
    <w:rsid w:val="0094005D"/>
    <w:rsid w:val="0095257F"/>
    <w:rsid w:val="00971091"/>
    <w:rsid w:val="00A13505"/>
    <w:rsid w:val="00A33984"/>
    <w:rsid w:val="00A70208"/>
    <w:rsid w:val="00AA561D"/>
    <w:rsid w:val="00AC1B48"/>
    <w:rsid w:val="00AC2F17"/>
    <w:rsid w:val="00AD1E2B"/>
    <w:rsid w:val="00AE5020"/>
    <w:rsid w:val="00AF3057"/>
    <w:rsid w:val="00B45243"/>
    <w:rsid w:val="00B50543"/>
    <w:rsid w:val="00B8127F"/>
    <w:rsid w:val="00BD4DB3"/>
    <w:rsid w:val="00BF160F"/>
    <w:rsid w:val="00BF279D"/>
    <w:rsid w:val="00C16586"/>
    <w:rsid w:val="00C21201"/>
    <w:rsid w:val="00C41B99"/>
    <w:rsid w:val="00C46950"/>
    <w:rsid w:val="00C536B0"/>
    <w:rsid w:val="00C921E7"/>
    <w:rsid w:val="00CB71E9"/>
    <w:rsid w:val="00CD09A6"/>
    <w:rsid w:val="00D17FB9"/>
    <w:rsid w:val="00D306AD"/>
    <w:rsid w:val="00DD07EC"/>
    <w:rsid w:val="00DE5DF2"/>
    <w:rsid w:val="00E138FD"/>
    <w:rsid w:val="00E16CEE"/>
    <w:rsid w:val="00E22785"/>
    <w:rsid w:val="00E321FB"/>
    <w:rsid w:val="00E54CC5"/>
    <w:rsid w:val="00E55849"/>
    <w:rsid w:val="00E66C22"/>
    <w:rsid w:val="00E7609B"/>
    <w:rsid w:val="00E8458F"/>
    <w:rsid w:val="00EC68B7"/>
    <w:rsid w:val="00EE017B"/>
    <w:rsid w:val="00F412DB"/>
    <w:rsid w:val="00F61430"/>
    <w:rsid w:val="00FA5EE7"/>
    <w:rsid w:val="00FB71FB"/>
    <w:rsid w:val="00FC3235"/>
    <w:rsid w:val="00FD1418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F951D822-B18A-49B2-B53A-F20A12A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7026-D371-4C18-B9F8-2CBF8E34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oficios SDH - Julio 2012</vt:lpstr>
    </vt:vector>
  </TitlesOfParts>
  <Company>LG  Electronics Inc.</Company>
  <LinksUpToDate>false</LinksUpToDate>
  <CharactersWithSpaces>1335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oficios SDH - Julio 2012</dc:title>
  <dc:subject>Plantillas manual de estilo 2012 Bogotá Humana</dc:subject>
  <dc:creator>Juan Guillermo Acosta Rada;Juan Carlos Lara Bonilla</dc:creator>
  <cp:keywords>Plantillas</cp:keywords>
  <cp:lastModifiedBy>Diego Alexander Pinzon Camacho</cp:lastModifiedBy>
  <cp:revision>2</cp:revision>
  <cp:lastPrinted>2009-09-01T20:25:00Z</cp:lastPrinted>
  <dcterms:created xsi:type="dcterms:W3CDTF">2013-12-03T20:16:00Z</dcterms:created>
  <dcterms:modified xsi:type="dcterms:W3CDTF">2013-12-03T20:16:00Z</dcterms:modified>
</cp:coreProperties>
</file>