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67" w14:textId="62F48550" w:rsidR="00FF4871" w:rsidRDefault="00FF4871" w:rsidP="007F4187">
      <w:pPr>
        <w:ind w:right="-567"/>
        <w:jc w:val="both"/>
        <w:rPr>
          <w:rFonts w:ascii="Arial" w:hAnsi="Arial" w:cs="Arial"/>
          <w:sz w:val="24"/>
          <w:szCs w:val="24"/>
        </w:rPr>
      </w:pPr>
      <w:r>
        <w:rPr>
          <w:rFonts w:ascii="Arial" w:hAnsi="Arial" w:cs="Arial"/>
          <w:sz w:val="24"/>
          <w:szCs w:val="24"/>
        </w:rPr>
        <w:t>Bogotá, D.C.</w:t>
      </w:r>
    </w:p>
    <w:p w14:paraId="52D5EE4A" w14:textId="2EBBACA0" w:rsidR="00FF4871" w:rsidRDefault="00FB6554" w:rsidP="007F4187">
      <w:pPr>
        <w:ind w:right="-567"/>
        <w:jc w:val="both"/>
        <w:rPr>
          <w:rFonts w:ascii="Arial" w:hAnsi="Arial" w:cs="Arial"/>
          <w:sz w:val="24"/>
          <w:szCs w:val="24"/>
        </w:rPr>
      </w:pPr>
      <w:r>
        <w:rPr>
          <w:rFonts w:ascii="Arial" w:hAnsi="Arial" w:cs="Arial"/>
          <w:sz w:val="24"/>
          <w:szCs w:val="24"/>
        </w:rPr>
        <w:t xml:space="preserve"> </w:t>
      </w:r>
    </w:p>
    <w:p w14:paraId="7B155A3D" w14:textId="69DCFBC8" w:rsidR="00460EA1" w:rsidRPr="00141870" w:rsidRDefault="00460EA1" w:rsidP="007F4187">
      <w:pPr>
        <w:ind w:right="-567"/>
        <w:jc w:val="both"/>
        <w:rPr>
          <w:rFonts w:ascii="Arial" w:hAnsi="Arial" w:cs="Arial"/>
          <w:sz w:val="24"/>
          <w:szCs w:val="24"/>
        </w:rPr>
      </w:pPr>
      <w:r w:rsidRPr="00141870">
        <w:rPr>
          <w:rFonts w:ascii="Arial" w:hAnsi="Arial" w:cs="Arial"/>
          <w:sz w:val="24"/>
          <w:szCs w:val="24"/>
        </w:rPr>
        <w:t>Doctor</w:t>
      </w:r>
      <w:r w:rsidR="00365BA6">
        <w:rPr>
          <w:rFonts w:ascii="Arial" w:hAnsi="Arial" w:cs="Arial"/>
          <w:sz w:val="24"/>
          <w:szCs w:val="24"/>
        </w:rPr>
        <w:t>a</w:t>
      </w:r>
    </w:p>
    <w:p w14:paraId="07049039" w14:textId="77777777" w:rsidR="00365BA6" w:rsidRDefault="00365BA6" w:rsidP="007F4187">
      <w:pPr>
        <w:ind w:right="-567"/>
        <w:jc w:val="both"/>
        <w:rPr>
          <w:rFonts w:ascii="Arial" w:hAnsi="Arial" w:cs="Arial"/>
          <w:b/>
          <w:bCs/>
          <w:sz w:val="24"/>
          <w:szCs w:val="24"/>
          <w:lang w:val="es-ES"/>
        </w:rPr>
      </w:pPr>
      <w:r w:rsidRPr="00365BA6">
        <w:rPr>
          <w:rFonts w:ascii="Arial" w:hAnsi="Arial" w:cs="Arial"/>
          <w:b/>
          <w:sz w:val="24"/>
          <w:szCs w:val="24"/>
          <w:lang w:val="es-ES"/>
        </w:rPr>
        <w:t>BETSY CAROLINA VELASCO JIMÉNEZ</w:t>
      </w:r>
    </w:p>
    <w:p w14:paraId="42B5E6DF" w14:textId="311EC171" w:rsidR="00365BA6" w:rsidRDefault="00365BA6" w:rsidP="007F4187">
      <w:pPr>
        <w:ind w:right="-567"/>
        <w:jc w:val="both"/>
        <w:rPr>
          <w:rFonts w:ascii="Arial" w:hAnsi="Arial" w:cs="Arial"/>
          <w:bCs/>
          <w:sz w:val="24"/>
          <w:szCs w:val="24"/>
          <w:lang w:val="es-ES"/>
        </w:rPr>
      </w:pPr>
      <w:r w:rsidRPr="00365BA6">
        <w:rPr>
          <w:rFonts w:ascii="Arial" w:hAnsi="Arial" w:cs="Arial"/>
          <w:bCs/>
          <w:sz w:val="24"/>
          <w:szCs w:val="24"/>
          <w:lang w:val="es-ES"/>
        </w:rPr>
        <w:t>Subdirectora Administrativa y Financiera</w:t>
      </w:r>
    </w:p>
    <w:p w14:paraId="6A2C4F83" w14:textId="62B7012E" w:rsidR="00365BA6" w:rsidRDefault="00365BA6" w:rsidP="007F4187">
      <w:pPr>
        <w:ind w:right="-567"/>
        <w:jc w:val="both"/>
        <w:rPr>
          <w:rFonts w:ascii="Arial" w:hAnsi="Arial" w:cs="Arial"/>
          <w:bCs/>
          <w:sz w:val="24"/>
          <w:szCs w:val="24"/>
          <w:lang w:val="es-ES"/>
        </w:rPr>
      </w:pPr>
      <w:r>
        <w:rPr>
          <w:rFonts w:ascii="Arial" w:hAnsi="Arial" w:cs="Arial"/>
          <w:bCs/>
          <w:sz w:val="24"/>
          <w:szCs w:val="24"/>
          <w:lang w:val="es-ES"/>
        </w:rPr>
        <w:t>Dirección de Gestión Corporativa</w:t>
      </w:r>
    </w:p>
    <w:p w14:paraId="21B51EB3" w14:textId="3ABAF390" w:rsidR="00365BA6" w:rsidRPr="00365BA6" w:rsidRDefault="00365BA6" w:rsidP="007F4187">
      <w:pPr>
        <w:ind w:right="-567"/>
        <w:jc w:val="both"/>
        <w:rPr>
          <w:rFonts w:ascii="Arial" w:hAnsi="Arial" w:cs="Arial"/>
          <w:bCs/>
          <w:sz w:val="24"/>
          <w:szCs w:val="24"/>
          <w:lang w:val="es-ES"/>
        </w:rPr>
      </w:pPr>
      <w:r>
        <w:rPr>
          <w:rFonts w:ascii="Arial" w:hAnsi="Arial" w:cs="Arial"/>
          <w:bCs/>
          <w:sz w:val="24"/>
          <w:szCs w:val="24"/>
          <w:lang w:val="es-ES"/>
        </w:rPr>
        <w:t>Secretaría Distrital de Hacienda</w:t>
      </w:r>
    </w:p>
    <w:p w14:paraId="03CB4D56" w14:textId="3367EEB0" w:rsidR="00696840" w:rsidRPr="00365BA6" w:rsidRDefault="00696840" w:rsidP="007F4187">
      <w:pPr>
        <w:ind w:right="-567"/>
        <w:jc w:val="both"/>
        <w:rPr>
          <w:rStyle w:val="Hipervnculo"/>
          <w:rFonts w:ascii="Arial" w:hAnsi="Arial" w:cs="Arial"/>
          <w:sz w:val="24"/>
          <w:szCs w:val="24"/>
        </w:rPr>
      </w:pPr>
      <w:r>
        <w:rPr>
          <w:rFonts w:ascii="Arial" w:hAnsi="Arial" w:cs="Arial"/>
          <w:sz w:val="24"/>
          <w:szCs w:val="24"/>
        </w:rPr>
        <w:t>Correo:</w:t>
      </w:r>
      <w:r w:rsidR="00FF4871">
        <w:rPr>
          <w:rFonts w:ascii="Arial" w:hAnsi="Arial" w:cs="Arial"/>
          <w:sz w:val="24"/>
          <w:szCs w:val="24"/>
        </w:rPr>
        <w:t xml:space="preserve"> </w:t>
      </w:r>
      <w:r w:rsidR="00365BA6" w:rsidRPr="00365BA6">
        <w:rPr>
          <w:rFonts w:ascii="Arial" w:hAnsi="Arial" w:cs="Arial"/>
          <w:sz w:val="24"/>
          <w:szCs w:val="24"/>
        </w:rPr>
        <w:t>bcvelasco@shd.gov.co</w:t>
      </w:r>
    </w:p>
    <w:p w14:paraId="7971B679" w14:textId="77777777" w:rsidR="00460EA1" w:rsidRPr="00141870" w:rsidRDefault="00460EA1" w:rsidP="007F4187">
      <w:pPr>
        <w:ind w:right="-567"/>
        <w:jc w:val="both"/>
        <w:rPr>
          <w:rFonts w:ascii="Arial" w:hAnsi="Arial" w:cs="Arial"/>
          <w:sz w:val="24"/>
          <w:szCs w:val="24"/>
        </w:rPr>
      </w:pPr>
      <w:r w:rsidRPr="00141870">
        <w:rPr>
          <w:rFonts w:ascii="Arial" w:hAnsi="Arial" w:cs="Arial"/>
          <w:sz w:val="24"/>
          <w:szCs w:val="24"/>
        </w:rPr>
        <w:t>NIT 899999061</w:t>
      </w:r>
    </w:p>
    <w:p w14:paraId="1A7238F8" w14:textId="1E379271" w:rsidR="00460EA1" w:rsidRPr="00141870" w:rsidRDefault="00F23937" w:rsidP="007F4187">
      <w:pPr>
        <w:ind w:right="-567"/>
        <w:jc w:val="both"/>
        <w:rPr>
          <w:rFonts w:ascii="Arial" w:hAnsi="Arial" w:cs="Arial"/>
          <w:sz w:val="24"/>
          <w:szCs w:val="24"/>
        </w:rPr>
      </w:pPr>
      <w:r>
        <w:rPr>
          <w:rFonts w:ascii="Arial" w:hAnsi="Arial" w:cs="Arial"/>
          <w:sz w:val="24"/>
          <w:szCs w:val="24"/>
        </w:rPr>
        <w:t xml:space="preserve">Carrera </w:t>
      </w:r>
      <w:r w:rsidR="002718F5">
        <w:rPr>
          <w:rFonts w:ascii="Arial" w:hAnsi="Arial" w:cs="Arial"/>
          <w:sz w:val="24"/>
          <w:szCs w:val="24"/>
        </w:rPr>
        <w:t>30</w:t>
      </w:r>
      <w:r w:rsidR="00416F7E">
        <w:rPr>
          <w:rFonts w:ascii="Arial" w:hAnsi="Arial" w:cs="Arial"/>
          <w:sz w:val="24"/>
          <w:szCs w:val="24"/>
        </w:rPr>
        <w:t xml:space="preserve"> #</w:t>
      </w:r>
      <w:r>
        <w:rPr>
          <w:rFonts w:ascii="Arial" w:hAnsi="Arial" w:cs="Arial"/>
          <w:sz w:val="24"/>
          <w:szCs w:val="24"/>
        </w:rPr>
        <w:t xml:space="preserve"> </w:t>
      </w:r>
      <w:r w:rsidR="002718F5">
        <w:rPr>
          <w:rFonts w:ascii="Arial" w:hAnsi="Arial" w:cs="Arial"/>
          <w:sz w:val="24"/>
          <w:szCs w:val="24"/>
        </w:rPr>
        <w:t>25</w:t>
      </w:r>
      <w:r w:rsidR="006A6DD6">
        <w:rPr>
          <w:rFonts w:ascii="Arial" w:hAnsi="Arial" w:cs="Arial"/>
          <w:sz w:val="24"/>
          <w:szCs w:val="24"/>
        </w:rPr>
        <w:t xml:space="preserve"> </w:t>
      </w:r>
      <w:r w:rsidR="00416F7E">
        <w:rPr>
          <w:rFonts w:ascii="Arial" w:hAnsi="Arial" w:cs="Arial"/>
          <w:sz w:val="24"/>
          <w:szCs w:val="24"/>
        </w:rPr>
        <w:t>–</w:t>
      </w:r>
      <w:r w:rsidR="006A6DD6">
        <w:rPr>
          <w:rFonts w:ascii="Arial" w:hAnsi="Arial" w:cs="Arial"/>
          <w:sz w:val="24"/>
          <w:szCs w:val="24"/>
        </w:rPr>
        <w:t xml:space="preserve"> </w:t>
      </w:r>
      <w:r w:rsidR="002718F5">
        <w:rPr>
          <w:rFonts w:ascii="Arial" w:hAnsi="Arial" w:cs="Arial"/>
          <w:sz w:val="24"/>
          <w:szCs w:val="24"/>
        </w:rPr>
        <w:t>90</w:t>
      </w:r>
      <w:r w:rsidR="00416F7E">
        <w:rPr>
          <w:rFonts w:ascii="Arial" w:hAnsi="Arial" w:cs="Arial"/>
          <w:sz w:val="24"/>
          <w:szCs w:val="24"/>
        </w:rPr>
        <w:t>,</w:t>
      </w:r>
      <w:r w:rsidR="002718F5">
        <w:rPr>
          <w:rFonts w:ascii="Arial" w:hAnsi="Arial" w:cs="Arial"/>
          <w:sz w:val="24"/>
          <w:szCs w:val="24"/>
        </w:rPr>
        <w:t xml:space="preserve"> Piso</w:t>
      </w:r>
      <w:r w:rsidR="00365BA6">
        <w:rPr>
          <w:rFonts w:ascii="Arial" w:hAnsi="Arial" w:cs="Arial"/>
          <w:sz w:val="24"/>
          <w:szCs w:val="24"/>
        </w:rPr>
        <w:t>10</w:t>
      </w:r>
    </w:p>
    <w:p w14:paraId="2B00430F" w14:textId="77777777" w:rsidR="00460EA1" w:rsidRPr="00141870" w:rsidRDefault="00460EA1" w:rsidP="007F4187">
      <w:pPr>
        <w:ind w:right="-567"/>
        <w:jc w:val="both"/>
        <w:rPr>
          <w:rFonts w:ascii="Arial" w:hAnsi="Arial" w:cs="Arial"/>
          <w:sz w:val="24"/>
          <w:szCs w:val="24"/>
        </w:rPr>
      </w:pPr>
      <w:r w:rsidRPr="00141870">
        <w:rPr>
          <w:rFonts w:ascii="Arial" w:hAnsi="Arial" w:cs="Arial"/>
          <w:sz w:val="24"/>
          <w:szCs w:val="24"/>
        </w:rPr>
        <w:t>Ciudad</w:t>
      </w:r>
    </w:p>
    <w:p w14:paraId="392F6390" w14:textId="77777777" w:rsidR="00365BA6" w:rsidRDefault="00460EA1" w:rsidP="007F4187">
      <w:pPr>
        <w:tabs>
          <w:tab w:val="center" w:pos="4394"/>
          <w:tab w:val="right" w:pos="8789"/>
        </w:tabs>
        <w:ind w:right="-567"/>
        <w:jc w:val="both"/>
        <w:rPr>
          <w:rFonts w:ascii="Arial" w:hAnsi="Arial" w:cs="Arial"/>
          <w:b/>
          <w:sz w:val="24"/>
          <w:szCs w:val="24"/>
        </w:rPr>
      </w:pPr>
      <w:r w:rsidRPr="00141870">
        <w:rPr>
          <w:rFonts w:ascii="Arial" w:hAnsi="Arial" w:cs="Arial"/>
          <w:b/>
          <w:sz w:val="24"/>
          <w:szCs w:val="24"/>
        </w:rPr>
        <w:tab/>
      </w:r>
    </w:p>
    <w:p w14:paraId="1BFBDAD4" w14:textId="6C093310" w:rsidR="00460EA1" w:rsidRPr="00141870" w:rsidRDefault="00460EA1" w:rsidP="007F4187">
      <w:pPr>
        <w:tabs>
          <w:tab w:val="center" w:pos="4394"/>
          <w:tab w:val="right" w:pos="8789"/>
        </w:tabs>
        <w:ind w:right="-567"/>
        <w:jc w:val="center"/>
        <w:rPr>
          <w:rFonts w:ascii="Arial" w:hAnsi="Arial" w:cs="Arial"/>
          <w:b/>
          <w:sz w:val="24"/>
          <w:szCs w:val="24"/>
        </w:rPr>
      </w:pPr>
      <w:r w:rsidRPr="00141870">
        <w:rPr>
          <w:rFonts w:ascii="Arial" w:hAnsi="Arial" w:cs="Arial"/>
          <w:b/>
          <w:sz w:val="24"/>
          <w:szCs w:val="24"/>
        </w:rPr>
        <w:t>CONCEPTO</w:t>
      </w:r>
    </w:p>
    <w:p w14:paraId="25653750" w14:textId="77777777" w:rsidR="00460EA1" w:rsidRPr="00F23937" w:rsidRDefault="00460EA1" w:rsidP="007F4187">
      <w:pPr>
        <w:ind w:right="-567"/>
        <w:jc w:val="both"/>
        <w:rPr>
          <w:rFonts w:ascii="Arial" w:hAnsi="Arial" w:cs="Arial"/>
          <w:sz w:val="24"/>
          <w:szCs w:val="24"/>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F23937" w:rsidRPr="00F23937" w14:paraId="6382368A" w14:textId="77777777" w:rsidTr="00C47B40">
        <w:tc>
          <w:tcPr>
            <w:tcW w:w="2155" w:type="dxa"/>
            <w:shd w:val="clear" w:color="auto" w:fill="auto"/>
            <w:vAlign w:val="center"/>
          </w:tcPr>
          <w:p w14:paraId="3707D054" w14:textId="77777777" w:rsidR="00460EA1" w:rsidRPr="00F23937" w:rsidRDefault="00460EA1" w:rsidP="007F4187">
            <w:pPr>
              <w:ind w:right="-567"/>
              <w:jc w:val="both"/>
              <w:rPr>
                <w:rFonts w:ascii="Arial" w:hAnsi="Arial" w:cs="Arial"/>
              </w:rPr>
            </w:pPr>
            <w:r w:rsidRPr="00F23937">
              <w:rPr>
                <w:rFonts w:ascii="Arial" w:hAnsi="Arial" w:cs="Arial"/>
              </w:rPr>
              <w:t>Referencia</w:t>
            </w:r>
          </w:p>
        </w:tc>
        <w:tc>
          <w:tcPr>
            <w:tcW w:w="6237" w:type="dxa"/>
            <w:shd w:val="clear" w:color="auto" w:fill="auto"/>
            <w:vAlign w:val="center"/>
          </w:tcPr>
          <w:p w14:paraId="41CFFF4E" w14:textId="4D6E8C0D" w:rsidR="00460EA1" w:rsidRPr="00F23937" w:rsidRDefault="00460EA1" w:rsidP="007F4187">
            <w:pPr>
              <w:ind w:right="-567"/>
              <w:jc w:val="both"/>
              <w:rPr>
                <w:rFonts w:ascii="Arial" w:hAnsi="Arial" w:cs="Arial"/>
              </w:rPr>
            </w:pPr>
            <w:r w:rsidRPr="00F23937">
              <w:rPr>
                <w:rFonts w:ascii="Arial" w:hAnsi="Arial" w:cs="Arial"/>
              </w:rPr>
              <w:t xml:space="preserve">No </w:t>
            </w:r>
            <w:r w:rsidR="002251AC">
              <w:rPr>
                <w:rFonts w:ascii="Arial" w:hAnsi="Arial" w:cs="Arial"/>
              </w:rPr>
              <w:t>2021</w:t>
            </w:r>
            <w:r w:rsidR="00365BA6">
              <w:rPr>
                <w:rFonts w:ascii="Arial" w:hAnsi="Arial" w:cs="Arial"/>
              </w:rPr>
              <w:t>IE</w:t>
            </w:r>
            <w:r w:rsidR="00FA63CA">
              <w:rPr>
                <w:rFonts w:ascii="Arial" w:hAnsi="Arial" w:cs="Arial"/>
              </w:rPr>
              <w:t>023241</w:t>
            </w:r>
          </w:p>
        </w:tc>
      </w:tr>
      <w:tr w:rsidR="00460EA1" w:rsidRPr="00141870" w14:paraId="6F5D6ED3" w14:textId="77777777" w:rsidTr="00C47B40">
        <w:tc>
          <w:tcPr>
            <w:tcW w:w="2155" w:type="dxa"/>
            <w:shd w:val="clear" w:color="auto" w:fill="auto"/>
            <w:vAlign w:val="center"/>
          </w:tcPr>
          <w:p w14:paraId="157338DB" w14:textId="77777777" w:rsidR="00460EA1" w:rsidRPr="00141870" w:rsidRDefault="00460EA1" w:rsidP="007F4187">
            <w:pPr>
              <w:ind w:right="-567"/>
              <w:jc w:val="both"/>
              <w:rPr>
                <w:rFonts w:ascii="Arial" w:hAnsi="Arial" w:cs="Arial"/>
              </w:rPr>
            </w:pPr>
            <w:r w:rsidRPr="00141870">
              <w:rPr>
                <w:rFonts w:ascii="Arial" w:hAnsi="Arial" w:cs="Arial"/>
              </w:rPr>
              <w:t xml:space="preserve">Descriptor general </w:t>
            </w:r>
          </w:p>
        </w:tc>
        <w:tc>
          <w:tcPr>
            <w:tcW w:w="6237" w:type="dxa"/>
            <w:shd w:val="clear" w:color="auto" w:fill="auto"/>
            <w:vAlign w:val="center"/>
          </w:tcPr>
          <w:p w14:paraId="0058F28B" w14:textId="18F0941A" w:rsidR="00460EA1" w:rsidRPr="00883010" w:rsidRDefault="00F23937" w:rsidP="007F4187">
            <w:pPr>
              <w:ind w:right="-567"/>
              <w:jc w:val="both"/>
              <w:rPr>
                <w:rFonts w:ascii="Arial" w:hAnsi="Arial" w:cs="Arial"/>
                <w:color w:val="FF0000"/>
                <w:highlight w:val="yellow"/>
              </w:rPr>
            </w:pPr>
            <w:r w:rsidRPr="00F23937">
              <w:rPr>
                <w:rFonts w:ascii="Arial" w:hAnsi="Arial" w:cs="Arial"/>
              </w:rPr>
              <w:t>Impuestos</w:t>
            </w:r>
          </w:p>
        </w:tc>
      </w:tr>
      <w:tr w:rsidR="00460EA1" w:rsidRPr="00141870" w14:paraId="17E8BC32" w14:textId="77777777" w:rsidTr="00C47B40">
        <w:tc>
          <w:tcPr>
            <w:tcW w:w="2155" w:type="dxa"/>
            <w:shd w:val="clear" w:color="auto" w:fill="auto"/>
            <w:vAlign w:val="center"/>
          </w:tcPr>
          <w:p w14:paraId="6E71748F" w14:textId="77777777" w:rsidR="00460EA1" w:rsidRPr="00141870" w:rsidRDefault="00460EA1" w:rsidP="007F4187">
            <w:pPr>
              <w:ind w:right="-567"/>
              <w:jc w:val="both"/>
              <w:rPr>
                <w:rFonts w:ascii="Arial" w:hAnsi="Arial" w:cs="Arial"/>
              </w:rPr>
            </w:pPr>
            <w:r w:rsidRPr="00141870">
              <w:rPr>
                <w:rFonts w:ascii="Arial" w:hAnsi="Arial" w:cs="Arial"/>
              </w:rPr>
              <w:t>Descriptores especiales</w:t>
            </w:r>
          </w:p>
        </w:tc>
        <w:tc>
          <w:tcPr>
            <w:tcW w:w="6237" w:type="dxa"/>
            <w:shd w:val="clear" w:color="auto" w:fill="auto"/>
            <w:vAlign w:val="center"/>
          </w:tcPr>
          <w:p w14:paraId="11918D5C" w14:textId="054D5B9C" w:rsidR="00460EA1" w:rsidRPr="00883010" w:rsidRDefault="00E052F6" w:rsidP="007F4187">
            <w:pPr>
              <w:ind w:right="-567"/>
              <w:jc w:val="both"/>
              <w:rPr>
                <w:rFonts w:ascii="Arial" w:hAnsi="Arial" w:cs="Arial"/>
                <w:color w:val="FF0000"/>
                <w:highlight w:val="yellow"/>
              </w:rPr>
            </w:pPr>
            <w:r w:rsidRPr="00A12C68">
              <w:rPr>
                <w:rFonts w:ascii="Arial" w:hAnsi="Arial" w:cs="Arial"/>
              </w:rPr>
              <w:t xml:space="preserve">Estampillas, hecho </w:t>
            </w:r>
            <w:r w:rsidR="00184146" w:rsidRPr="00A12C68">
              <w:rPr>
                <w:rFonts w:ascii="Arial" w:hAnsi="Arial" w:cs="Arial"/>
              </w:rPr>
              <w:t>generador</w:t>
            </w:r>
            <w:r w:rsidRPr="00A12C68">
              <w:rPr>
                <w:rFonts w:ascii="Arial" w:hAnsi="Arial" w:cs="Arial"/>
              </w:rPr>
              <w:t xml:space="preserve">, sujetos pasivos, </w:t>
            </w:r>
            <w:r w:rsidR="00184146" w:rsidRPr="00A12C68">
              <w:rPr>
                <w:rFonts w:ascii="Arial" w:hAnsi="Arial" w:cs="Arial"/>
              </w:rPr>
              <w:t>exclusiones</w:t>
            </w:r>
          </w:p>
        </w:tc>
      </w:tr>
      <w:tr w:rsidR="00460EA1" w:rsidRPr="00141870" w14:paraId="2F433714" w14:textId="77777777" w:rsidTr="00C47B40">
        <w:tc>
          <w:tcPr>
            <w:tcW w:w="2155" w:type="dxa"/>
            <w:shd w:val="clear" w:color="auto" w:fill="auto"/>
            <w:vAlign w:val="center"/>
          </w:tcPr>
          <w:p w14:paraId="56887F5D" w14:textId="77777777" w:rsidR="00460EA1" w:rsidRPr="00141870" w:rsidRDefault="00460EA1" w:rsidP="007F4187">
            <w:pPr>
              <w:tabs>
                <w:tab w:val="left" w:pos="717"/>
              </w:tabs>
              <w:ind w:right="-567"/>
              <w:jc w:val="both"/>
              <w:rPr>
                <w:rFonts w:ascii="Arial" w:hAnsi="Arial" w:cs="Arial"/>
              </w:rPr>
            </w:pPr>
            <w:r w:rsidRPr="00141870">
              <w:rPr>
                <w:rFonts w:ascii="Arial" w:hAnsi="Arial" w:cs="Arial"/>
              </w:rPr>
              <w:t>Problema jurídico</w:t>
            </w:r>
          </w:p>
        </w:tc>
        <w:tc>
          <w:tcPr>
            <w:tcW w:w="6237" w:type="dxa"/>
            <w:shd w:val="clear" w:color="auto" w:fill="auto"/>
            <w:vAlign w:val="center"/>
          </w:tcPr>
          <w:p w14:paraId="45809A71" w14:textId="71B1C3CE" w:rsidR="00A34FF5" w:rsidRPr="00883010" w:rsidRDefault="00A34FF5" w:rsidP="007F4187">
            <w:pPr>
              <w:ind w:right="-567"/>
              <w:jc w:val="both"/>
              <w:rPr>
                <w:rFonts w:ascii="Arial" w:hAnsi="Arial" w:cs="Arial"/>
                <w:bCs/>
                <w:color w:val="FF0000"/>
              </w:rPr>
            </w:pPr>
          </w:p>
          <w:p w14:paraId="4BB19F1C" w14:textId="3A291E48" w:rsidR="00A34FF5" w:rsidRPr="00A12C68" w:rsidRDefault="00A34FF5" w:rsidP="007F4187">
            <w:pPr>
              <w:ind w:right="-567"/>
              <w:jc w:val="both"/>
              <w:rPr>
                <w:rFonts w:ascii="Arial" w:hAnsi="Arial" w:cs="Arial"/>
              </w:rPr>
            </w:pPr>
            <w:r w:rsidRPr="00A12C68">
              <w:rPr>
                <w:rFonts w:ascii="Arial" w:hAnsi="Arial" w:cs="Arial"/>
                <w:bCs/>
              </w:rPr>
              <w:t>¿</w:t>
            </w:r>
            <w:r w:rsidR="00FE370F" w:rsidRPr="00A12C68">
              <w:rPr>
                <w:rFonts w:ascii="Arial" w:hAnsi="Arial" w:cs="Arial"/>
                <w:bCs/>
              </w:rPr>
              <w:t xml:space="preserve">se debe realizar retención por estampillas en la </w:t>
            </w:r>
            <w:r w:rsidR="004E5F5D" w:rsidRPr="00A12C68">
              <w:rPr>
                <w:rFonts w:ascii="Arial" w:hAnsi="Arial" w:cs="Arial"/>
                <w:bCs/>
              </w:rPr>
              <w:t>realización de</w:t>
            </w:r>
            <w:r w:rsidR="00FE370F" w:rsidRPr="00A12C68">
              <w:rPr>
                <w:rFonts w:ascii="Arial" w:hAnsi="Arial" w:cs="Arial"/>
                <w:bCs/>
              </w:rPr>
              <w:t xml:space="preserve"> compra de bienes y</w:t>
            </w:r>
            <w:r w:rsidR="00A12C68" w:rsidRPr="00A12C68">
              <w:rPr>
                <w:rFonts w:ascii="Arial" w:hAnsi="Arial" w:cs="Arial"/>
                <w:bCs/>
              </w:rPr>
              <w:t>/</w:t>
            </w:r>
            <w:r w:rsidR="00FE370F" w:rsidRPr="00A12C68">
              <w:rPr>
                <w:rFonts w:ascii="Arial" w:hAnsi="Arial" w:cs="Arial"/>
                <w:bCs/>
              </w:rPr>
              <w:t>o servicios a proveedores en el exterior</w:t>
            </w:r>
            <w:r w:rsidRPr="00A12C68">
              <w:rPr>
                <w:rFonts w:ascii="Arial" w:hAnsi="Arial" w:cs="Arial"/>
                <w:bCs/>
              </w:rPr>
              <w:t>?</w:t>
            </w:r>
          </w:p>
          <w:p w14:paraId="33070478" w14:textId="77777777" w:rsidR="00460EA1" w:rsidRPr="00883010" w:rsidRDefault="00460EA1" w:rsidP="007F4187">
            <w:pPr>
              <w:ind w:right="-567"/>
              <w:jc w:val="both"/>
              <w:rPr>
                <w:rFonts w:ascii="Arial" w:hAnsi="Arial" w:cs="Arial"/>
                <w:color w:val="FF0000"/>
              </w:rPr>
            </w:pPr>
            <w:r w:rsidRPr="00066A65">
              <w:rPr>
                <w:rFonts w:ascii="Arial" w:hAnsi="Arial" w:cs="Arial"/>
                <w:color w:val="FF0000"/>
              </w:rPr>
              <w:t xml:space="preserve">  </w:t>
            </w:r>
          </w:p>
        </w:tc>
      </w:tr>
      <w:tr w:rsidR="00460EA1" w:rsidRPr="00141870" w14:paraId="44DE7E3E" w14:textId="77777777" w:rsidTr="00C47B40">
        <w:tc>
          <w:tcPr>
            <w:tcW w:w="2155" w:type="dxa"/>
            <w:shd w:val="clear" w:color="auto" w:fill="auto"/>
            <w:vAlign w:val="center"/>
          </w:tcPr>
          <w:p w14:paraId="40A4B8AE" w14:textId="77777777" w:rsidR="00460EA1" w:rsidRPr="00141870" w:rsidRDefault="00460EA1" w:rsidP="007F4187">
            <w:pPr>
              <w:ind w:right="-567"/>
              <w:jc w:val="both"/>
              <w:rPr>
                <w:rFonts w:ascii="Arial" w:hAnsi="Arial" w:cs="Arial"/>
              </w:rPr>
            </w:pPr>
            <w:r w:rsidRPr="00141870">
              <w:rPr>
                <w:rFonts w:ascii="Arial" w:hAnsi="Arial" w:cs="Arial"/>
              </w:rPr>
              <w:t>Fuentes formales</w:t>
            </w:r>
          </w:p>
        </w:tc>
        <w:tc>
          <w:tcPr>
            <w:tcW w:w="6237" w:type="dxa"/>
            <w:shd w:val="clear" w:color="auto" w:fill="auto"/>
            <w:vAlign w:val="center"/>
          </w:tcPr>
          <w:p w14:paraId="27FA2855" w14:textId="77777777" w:rsidR="00460EA1" w:rsidRPr="00A12C68" w:rsidRDefault="00E052F6" w:rsidP="007F4187">
            <w:pPr>
              <w:ind w:right="-567"/>
              <w:jc w:val="both"/>
              <w:rPr>
                <w:rFonts w:ascii="Arial" w:hAnsi="Arial" w:cs="Arial"/>
              </w:rPr>
            </w:pPr>
            <w:r w:rsidRPr="00A12C68">
              <w:rPr>
                <w:rFonts w:ascii="Arial" w:hAnsi="Arial" w:cs="Arial"/>
              </w:rPr>
              <w:t>Acuerdo Distrital 187 de 2005</w:t>
            </w:r>
          </w:p>
          <w:p w14:paraId="4EFBC81D" w14:textId="77777777" w:rsidR="00E052F6" w:rsidRPr="00A12C68" w:rsidRDefault="00E052F6" w:rsidP="007F4187">
            <w:pPr>
              <w:ind w:right="-567"/>
              <w:jc w:val="both"/>
              <w:rPr>
                <w:rFonts w:ascii="Arial" w:hAnsi="Arial" w:cs="Arial"/>
              </w:rPr>
            </w:pPr>
            <w:r w:rsidRPr="00A12C68">
              <w:rPr>
                <w:rFonts w:ascii="Arial" w:hAnsi="Arial" w:cs="Arial"/>
              </w:rPr>
              <w:t>Acuerdo Distrital 669 de 2017</w:t>
            </w:r>
          </w:p>
          <w:p w14:paraId="1B1C56C0" w14:textId="77777777" w:rsidR="00E052F6" w:rsidRPr="00A12C68" w:rsidRDefault="00E052F6" w:rsidP="007F4187">
            <w:pPr>
              <w:ind w:right="-567"/>
              <w:jc w:val="both"/>
              <w:rPr>
                <w:rFonts w:ascii="Arial" w:hAnsi="Arial" w:cs="Arial"/>
              </w:rPr>
            </w:pPr>
            <w:r w:rsidRPr="00A12C68">
              <w:rPr>
                <w:rFonts w:ascii="Arial" w:hAnsi="Arial" w:cs="Arial"/>
              </w:rPr>
              <w:t>Acuerdo Distrital 696 de 201</w:t>
            </w:r>
          </w:p>
          <w:p w14:paraId="7A2986C5" w14:textId="77777777" w:rsidR="00E95F8D" w:rsidRDefault="00E052F6" w:rsidP="007F4187">
            <w:pPr>
              <w:ind w:right="-567"/>
              <w:jc w:val="both"/>
              <w:rPr>
                <w:rFonts w:ascii="Arial" w:hAnsi="Arial" w:cs="Arial"/>
              </w:rPr>
            </w:pPr>
            <w:bookmarkStart w:id="0" w:name="_Hlk94003462"/>
            <w:r w:rsidRPr="00A12C68">
              <w:rPr>
                <w:rFonts w:ascii="Arial" w:hAnsi="Arial" w:cs="Arial"/>
              </w:rPr>
              <w:t xml:space="preserve">Concepto Unificador </w:t>
            </w:r>
            <w:r w:rsidR="00C47B40">
              <w:rPr>
                <w:rFonts w:ascii="Arial" w:hAnsi="Arial" w:cs="Arial"/>
              </w:rPr>
              <w:t xml:space="preserve">2020EE1154 </w:t>
            </w:r>
            <w:r w:rsidRPr="00A12C68">
              <w:rPr>
                <w:rFonts w:ascii="Arial" w:hAnsi="Arial" w:cs="Arial"/>
              </w:rPr>
              <w:t>Dirección Jurídica Secretaría Distrital de Hacienda</w:t>
            </w:r>
            <w:bookmarkEnd w:id="0"/>
          </w:p>
          <w:p w14:paraId="281C8D9D" w14:textId="77777777" w:rsidR="00230920" w:rsidRDefault="00E95F8D" w:rsidP="007F4187">
            <w:pPr>
              <w:ind w:right="-567"/>
              <w:jc w:val="both"/>
              <w:rPr>
                <w:rFonts w:ascii="Arial" w:hAnsi="Arial" w:cs="Arial"/>
                <w:bCs/>
              </w:rPr>
            </w:pPr>
            <w:r w:rsidRPr="00EC46A1">
              <w:rPr>
                <w:rFonts w:ascii="Arial" w:hAnsi="Arial" w:cs="Arial"/>
                <w:bCs/>
              </w:rPr>
              <w:t>Consejo de Estado. Concepto Sala de Consulta y Servicio Civil. 05 de diciembre de 2002. Radicación 1469. Consejero ponente: Susana Montes de Echeverri.</w:t>
            </w:r>
          </w:p>
          <w:p w14:paraId="3D15EA69" w14:textId="00B48345" w:rsidR="00230920" w:rsidRPr="00230920" w:rsidRDefault="00230920" w:rsidP="007F4187">
            <w:pPr>
              <w:ind w:right="-567"/>
              <w:jc w:val="both"/>
              <w:rPr>
                <w:rFonts w:ascii="Arial" w:hAnsi="Arial" w:cs="Arial"/>
                <w:bCs/>
              </w:rPr>
            </w:pPr>
            <w:r w:rsidRPr="00230920">
              <w:rPr>
                <w:rFonts w:ascii="Arial" w:hAnsi="Arial" w:cs="Arial"/>
              </w:rPr>
              <w:t xml:space="preserve">Consejo de Estado. Sección Cuarta. </w:t>
            </w:r>
            <w:r w:rsidRPr="00230920">
              <w:rPr>
                <w:rFonts w:ascii="Arial" w:hAnsi="Arial" w:cs="Arial"/>
                <w:bCs/>
              </w:rPr>
              <w:t>Sentencia del 19 de abril de 2018. Radicación número: 76001-23-31-000-2008-00510-01(22380). Consejero Ponente: Milton Chaves García.</w:t>
            </w:r>
          </w:p>
          <w:p w14:paraId="57286CB0" w14:textId="26C2A46C" w:rsidR="00230920" w:rsidRPr="00883010" w:rsidRDefault="00230920" w:rsidP="007F4187">
            <w:pPr>
              <w:ind w:right="-567"/>
              <w:jc w:val="both"/>
              <w:rPr>
                <w:rFonts w:ascii="Arial" w:hAnsi="Arial" w:cs="Arial"/>
                <w:color w:val="FF0000"/>
              </w:rPr>
            </w:pPr>
          </w:p>
        </w:tc>
      </w:tr>
    </w:tbl>
    <w:p w14:paraId="269DF65A" w14:textId="77777777" w:rsidR="00460EA1" w:rsidRPr="00141870" w:rsidRDefault="00460EA1" w:rsidP="007F4187">
      <w:pPr>
        <w:ind w:right="-567"/>
        <w:jc w:val="both"/>
        <w:rPr>
          <w:rFonts w:ascii="Arial" w:hAnsi="Arial" w:cs="Arial"/>
          <w:sz w:val="24"/>
          <w:szCs w:val="24"/>
        </w:rPr>
      </w:pPr>
    </w:p>
    <w:p w14:paraId="563D6766" w14:textId="7BB712F6" w:rsidR="00460EA1" w:rsidRDefault="00460EA1" w:rsidP="007F4187">
      <w:pPr>
        <w:ind w:right="-567"/>
        <w:jc w:val="both"/>
        <w:rPr>
          <w:rFonts w:ascii="Arial" w:hAnsi="Arial" w:cs="Arial"/>
          <w:b/>
          <w:bCs/>
          <w:sz w:val="24"/>
          <w:szCs w:val="24"/>
        </w:rPr>
      </w:pPr>
      <w:r w:rsidRPr="00141870">
        <w:rPr>
          <w:rFonts w:ascii="Arial" w:hAnsi="Arial" w:cs="Arial"/>
          <w:b/>
          <w:bCs/>
          <w:sz w:val="24"/>
          <w:szCs w:val="24"/>
        </w:rPr>
        <w:t>IDENTIFICACIÓN DE LA CONSULTA</w:t>
      </w:r>
    </w:p>
    <w:p w14:paraId="395F597C" w14:textId="19F8B61A" w:rsidR="002F3167" w:rsidRPr="002F3167" w:rsidRDefault="002F3167" w:rsidP="007F4187">
      <w:pPr>
        <w:ind w:right="-567"/>
        <w:jc w:val="both"/>
        <w:rPr>
          <w:rFonts w:ascii="Arial" w:hAnsi="Arial" w:cs="Arial"/>
          <w:sz w:val="24"/>
          <w:szCs w:val="24"/>
        </w:rPr>
      </w:pPr>
    </w:p>
    <w:p w14:paraId="090F9B0E" w14:textId="7CAF8BE3" w:rsidR="00FA63CA" w:rsidRDefault="00FA63CA" w:rsidP="007F4187">
      <w:pPr>
        <w:ind w:right="-567"/>
        <w:jc w:val="both"/>
        <w:rPr>
          <w:rFonts w:ascii="Arial" w:hAnsi="Arial" w:cs="Arial"/>
          <w:bCs/>
          <w:sz w:val="24"/>
          <w:szCs w:val="24"/>
          <w:lang w:val="es-ES"/>
        </w:rPr>
      </w:pPr>
      <w:r>
        <w:rPr>
          <w:rFonts w:ascii="Arial" w:hAnsi="Arial" w:cs="Arial"/>
          <w:sz w:val="24"/>
          <w:szCs w:val="24"/>
          <w:lang w:val="es-CO"/>
        </w:rPr>
        <w:t xml:space="preserve">La </w:t>
      </w:r>
      <w:r w:rsidRPr="00365BA6">
        <w:rPr>
          <w:rFonts w:ascii="Arial" w:hAnsi="Arial" w:cs="Arial"/>
          <w:bCs/>
          <w:sz w:val="24"/>
          <w:szCs w:val="24"/>
          <w:lang w:val="es-ES"/>
        </w:rPr>
        <w:t>Subdirec</w:t>
      </w:r>
      <w:r w:rsidR="00E51FED">
        <w:rPr>
          <w:rFonts w:ascii="Arial" w:hAnsi="Arial" w:cs="Arial"/>
          <w:bCs/>
          <w:sz w:val="24"/>
          <w:szCs w:val="24"/>
          <w:lang w:val="es-ES"/>
        </w:rPr>
        <w:t xml:space="preserve">ción </w:t>
      </w:r>
      <w:r w:rsidRPr="00365BA6">
        <w:rPr>
          <w:rFonts w:ascii="Arial" w:hAnsi="Arial" w:cs="Arial"/>
          <w:bCs/>
          <w:sz w:val="24"/>
          <w:szCs w:val="24"/>
          <w:lang w:val="es-ES"/>
        </w:rPr>
        <w:t>Administrativa y Financiera</w:t>
      </w:r>
      <w:r>
        <w:rPr>
          <w:rFonts w:ascii="Arial" w:hAnsi="Arial" w:cs="Arial"/>
          <w:bCs/>
          <w:sz w:val="24"/>
          <w:szCs w:val="24"/>
          <w:lang w:val="es-ES"/>
        </w:rPr>
        <w:t xml:space="preserve"> de la </w:t>
      </w:r>
      <w:r w:rsidRPr="00FA63CA">
        <w:rPr>
          <w:rFonts w:ascii="Arial" w:hAnsi="Arial" w:cs="Arial"/>
          <w:bCs/>
          <w:sz w:val="24"/>
          <w:szCs w:val="24"/>
          <w:lang w:val="es-ES"/>
        </w:rPr>
        <w:t>Dirección de Gestión Corporativa</w:t>
      </w:r>
      <w:r>
        <w:rPr>
          <w:rFonts w:ascii="Arial" w:hAnsi="Arial" w:cs="Arial"/>
          <w:bCs/>
          <w:sz w:val="24"/>
          <w:szCs w:val="24"/>
          <w:lang w:val="es-ES"/>
        </w:rPr>
        <w:t xml:space="preserve"> de la </w:t>
      </w:r>
      <w:r w:rsidRPr="00FA63CA">
        <w:rPr>
          <w:rFonts w:ascii="Arial" w:hAnsi="Arial" w:cs="Arial"/>
          <w:bCs/>
          <w:sz w:val="24"/>
          <w:szCs w:val="24"/>
          <w:lang w:val="es-ES"/>
        </w:rPr>
        <w:t>Secretaría Distrital de Hacienda</w:t>
      </w:r>
      <w:r>
        <w:rPr>
          <w:rFonts w:ascii="Arial" w:hAnsi="Arial" w:cs="Arial"/>
          <w:bCs/>
          <w:sz w:val="24"/>
          <w:szCs w:val="24"/>
          <w:lang w:val="es-ES"/>
        </w:rPr>
        <w:t>, consulta:</w:t>
      </w:r>
    </w:p>
    <w:p w14:paraId="6A8AD378" w14:textId="1C0EEF12" w:rsidR="00FA63CA" w:rsidRPr="00230920" w:rsidRDefault="00FA63CA" w:rsidP="007F4187">
      <w:pPr>
        <w:ind w:left="284" w:right="-567"/>
        <w:jc w:val="both"/>
        <w:rPr>
          <w:rFonts w:ascii="Arial" w:hAnsi="Arial" w:cs="Arial"/>
          <w:bCs/>
          <w:i/>
          <w:iCs/>
          <w:sz w:val="22"/>
          <w:szCs w:val="22"/>
          <w:lang w:val="es-ES"/>
        </w:rPr>
      </w:pPr>
    </w:p>
    <w:p w14:paraId="03F65498" w14:textId="7B0E5F75" w:rsidR="00FA63CA" w:rsidRPr="00230920" w:rsidRDefault="00FA63CA" w:rsidP="007F4187">
      <w:pPr>
        <w:pStyle w:val="Prrafodelista"/>
        <w:numPr>
          <w:ilvl w:val="0"/>
          <w:numId w:val="7"/>
        </w:numPr>
        <w:spacing w:after="0" w:line="240" w:lineRule="auto"/>
        <w:ind w:left="284" w:right="-567" w:firstLine="0"/>
        <w:jc w:val="both"/>
        <w:rPr>
          <w:rFonts w:ascii="Arial" w:hAnsi="Arial" w:cs="Arial"/>
          <w:bCs/>
          <w:i/>
          <w:iCs/>
          <w:lang w:val="es-ES"/>
        </w:rPr>
      </w:pPr>
      <w:r w:rsidRPr="00230920">
        <w:rPr>
          <w:rFonts w:ascii="Arial" w:hAnsi="Arial" w:cs="Arial"/>
          <w:bCs/>
          <w:i/>
          <w:iCs/>
          <w:lang w:val="es-ES"/>
        </w:rPr>
        <w:t xml:space="preserve">Que tratamiento se le deben dar a las retenciones por Estampillas en la realización de compras de bienes y/o servicios a proveedores en el </w:t>
      </w:r>
      <w:r w:rsidR="004D4B10" w:rsidRPr="00230920">
        <w:rPr>
          <w:rFonts w:ascii="Arial" w:hAnsi="Arial" w:cs="Arial"/>
          <w:bCs/>
          <w:i/>
          <w:iCs/>
          <w:lang w:val="es-ES"/>
        </w:rPr>
        <w:t>exterior?</w:t>
      </w:r>
      <w:r w:rsidRPr="00230920">
        <w:rPr>
          <w:rFonts w:ascii="Arial" w:hAnsi="Arial" w:cs="Arial"/>
          <w:bCs/>
          <w:i/>
          <w:iCs/>
          <w:lang w:val="es-ES"/>
        </w:rPr>
        <w:t xml:space="preserve"> Es </w:t>
      </w:r>
      <w:r w:rsidR="004D4B10" w:rsidRPr="00230920">
        <w:rPr>
          <w:rFonts w:ascii="Arial" w:hAnsi="Arial" w:cs="Arial"/>
          <w:bCs/>
          <w:i/>
          <w:iCs/>
          <w:lang w:val="es-ES"/>
        </w:rPr>
        <w:t>decir</w:t>
      </w:r>
      <w:r w:rsidR="00E51FED" w:rsidRPr="00230920">
        <w:rPr>
          <w:rFonts w:ascii="Arial" w:hAnsi="Arial" w:cs="Arial"/>
          <w:bCs/>
          <w:i/>
          <w:iCs/>
          <w:lang w:val="es-ES"/>
        </w:rPr>
        <w:t>,</w:t>
      </w:r>
      <w:r w:rsidR="004D4B10" w:rsidRPr="00230920">
        <w:rPr>
          <w:rFonts w:ascii="Arial" w:hAnsi="Arial" w:cs="Arial"/>
          <w:bCs/>
          <w:i/>
          <w:iCs/>
          <w:lang w:val="es-ES"/>
        </w:rPr>
        <w:t xml:space="preserve"> </w:t>
      </w:r>
      <w:r w:rsidRPr="00230920">
        <w:rPr>
          <w:rFonts w:ascii="Arial" w:hAnsi="Arial" w:cs="Arial"/>
          <w:bCs/>
          <w:i/>
          <w:iCs/>
          <w:lang w:val="es-ES"/>
        </w:rPr>
        <w:t xml:space="preserve">si esta retención es asumida por la SHD o si </w:t>
      </w:r>
      <w:r w:rsidR="004D4B10" w:rsidRPr="00230920">
        <w:rPr>
          <w:rFonts w:ascii="Arial" w:hAnsi="Arial" w:cs="Arial"/>
          <w:bCs/>
          <w:i/>
          <w:iCs/>
          <w:lang w:val="es-ES"/>
        </w:rPr>
        <w:t xml:space="preserve">no se le </w:t>
      </w:r>
      <w:r w:rsidR="00E51FED" w:rsidRPr="00230920">
        <w:rPr>
          <w:rFonts w:ascii="Arial" w:hAnsi="Arial" w:cs="Arial"/>
          <w:bCs/>
          <w:i/>
          <w:iCs/>
          <w:lang w:val="es-ES"/>
        </w:rPr>
        <w:t>práctica</w:t>
      </w:r>
      <w:r w:rsidR="004D4B10" w:rsidRPr="00230920">
        <w:rPr>
          <w:rFonts w:ascii="Arial" w:hAnsi="Arial" w:cs="Arial"/>
          <w:bCs/>
          <w:i/>
          <w:iCs/>
          <w:lang w:val="es-ES"/>
        </w:rPr>
        <w:t>.</w:t>
      </w:r>
    </w:p>
    <w:p w14:paraId="196DA319" w14:textId="77777777" w:rsidR="00F212B6" w:rsidRPr="00230920" w:rsidRDefault="00F212B6" w:rsidP="007F4187">
      <w:pPr>
        <w:pStyle w:val="Prrafodelista"/>
        <w:spacing w:after="0" w:line="240" w:lineRule="auto"/>
        <w:ind w:left="284" w:right="-567"/>
        <w:jc w:val="both"/>
        <w:rPr>
          <w:rFonts w:ascii="Arial" w:hAnsi="Arial" w:cs="Arial"/>
          <w:bCs/>
          <w:i/>
          <w:iCs/>
          <w:lang w:val="es-ES"/>
        </w:rPr>
      </w:pPr>
    </w:p>
    <w:p w14:paraId="744292CB" w14:textId="55DC26AD" w:rsidR="004D4B10" w:rsidRPr="00230920" w:rsidRDefault="004D4B10" w:rsidP="007F4187">
      <w:pPr>
        <w:pStyle w:val="Prrafodelista"/>
        <w:numPr>
          <w:ilvl w:val="0"/>
          <w:numId w:val="7"/>
        </w:numPr>
        <w:spacing w:after="0" w:line="240" w:lineRule="auto"/>
        <w:ind w:left="284" w:right="-567" w:firstLine="0"/>
        <w:jc w:val="both"/>
        <w:rPr>
          <w:rFonts w:ascii="Arial" w:hAnsi="Arial" w:cs="Arial"/>
          <w:bCs/>
          <w:i/>
          <w:iCs/>
          <w:lang w:val="es-ES"/>
        </w:rPr>
      </w:pPr>
      <w:bookmarkStart w:id="1" w:name="_Hlk93934017"/>
      <w:r w:rsidRPr="00230920">
        <w:rPr>
          <w:rFonts w:ascii="Arial" w:hAnsi="Arial" w:cs="Arial"/>
          <w:bCs/>
          <w:i/>
          <w:iCs/>
          <w:lang w:val="es-ES"/>
        </w:rPr>
        <w:t xml:space="preserve">¿En el caso de que el proveedor sea una entidad estatal o del orden público y las retenciones por Estampillas deben asumidas(sic) por la SHD, </w:t>
      </w:r>
      <w:r w:rsidR="00E51FED" w:rsidRPr="00230920">
        <w:rPr>
          <w:rFonts w:ascii="Arial" w:hAnsi="Arial" w:cs="Arial"/>
          <w:bCs/>
          <w:i/>
          <w:iCs/>
          <w:lang w:val="es-ES"/>
        </w:rPr>
        <w:t>cuál</w:t>
      </w:r>
      <w:r w:rsidRPr="00230920">
        <w:rPr>
          <w:rFonts w:ascii="Arial" w:hAnsi="Arial" w:cs="Arial"/>
          <w:bCs/>
          <w:i/>
          <w:iCs/>
          <w:lang w:val="es-ES"/>
        </w:rPr>
        <w:t xml:space="preserve"> sería la dinámica contable?</w:t>
      </w:r>
    </w:p>
    <w:bookmarkEnd w:id="1"/>
    <w:p w14:paraId="515807B7" w14:textId="77777777" w:rsidR="004D4B10" w:rsidRPr="00230920" w:rsidRDefault="004D4B10" w:rsidP="007F4187">
      <w:pPr>
        <w:ind w:left="284" w:right="-567"/>
        <w:jc w:val="both"/>
        <w:rPr>
          <w:rFonts w:ascii="Arial" w:hAnsi="Arial" w:cs="Arial"/>
          <w:b/>
          <w:bCs/>
          <w:i/>
          <w:iCs/>
          <w:sz w:val="22"/>
          <w:szCs w:val="22"/>
        </w:rPr>
      </w:pPr>
    </w:p>
    <w:p w14:paraId="46071AA7" w14:textId="5F0EAEE2" w:rsidR="00460EA1" w:rsidRPr="00141870" w:rsidRDefault="00460EA1" w:rsidP="007F4187">
      <w:pPr>
        <w:ind w:right="-567"/>
        <w:jc w:val="both"/>
        <w:rPr>
          <w:rFonts w:ascii="Arial" w:hAnsi="Arial" w:cs="Arial"/>
          <w:b/>
          <w:bCs/>
          <w:sz w:val="24"/>
          <w:szCs w:val="24"/>
        </w:rPr>
      </w:pPr>
      <w:r w:rsidRPr="00141870">
        <w:rPr>
          <w:rFonts w:ascii="Arial" w:hAnsi="Arial" w:cs="Arial"/>
          <w:b/>
          <w:bCs/>
          <w:sz w:val="24"/>
          <w:szCs w:val="24"/>
        </w:rPr>
        <w:t xml:space="preserve">CONSIDERACIONES </w:t>
      </w:r>
    </w:p>
    <w:p w14:paraId="19966385" w14:textId="77777777" w:rsidR="00460EA1" w:rsidRPr="00737A8B" w:rsidRDefault="00460EA1" w:rsidP="007F4187">
      <w:pPr>
        <w:ind w:right="-567"/>
        <w:jc w:val="both"/>
        <w:rPr>
          <w:rFonts w:ascii="Arial" w:eastAsia="Verdana" w:hAnsi="Arial" w:cs="Arial"/>
          <w:noProof/>
          <w:sz w:val="24"/>
          <w:szCs w:val="24"/>
          <w:lang w:val="es-CO" w:eastAsia="es-CO"/>
        </w:rPr>
      </w:pPr>
    </w:p>
    <w:p w14:paraId="39686C32" w14:textId="1EC4BAEA" w:rsidR="00855295" w:rsidRDefault="00855295" w:rsidP="007F4187">
      <w:pPr>
        <w:ind w:right="-567"/>
        <w:jc w:val="both"/>
        <w:rPr>
          <w:rFonts w:ascii="Arial" w:hAnsi="Arial" w:cs="Arial"/>
          <w:sz w:val="24"/>
          <w:szCs w:val="24"/>
        </w:rPr>
      </w:pPr>
      <w:r w:rsidRPr="00855295">
        <w:rPr>
          <w:rFonts w:ascii="Arial" w:hAnsi="Arial" w:cs="Arial"/>
          <w:sz w:val="24"/>
          <w:szCs w:val="24"/>
        </w:rPr>
        <w:t xml:space="preserve">Esta dirección </w:t>
      </w:r>
      <w:r w:rsidR="00DD01AA">
        <w:rPr>
          <w:rFonts w:ascii="Arial" w:hAnsi="Arial" w:cs="Arial"/>
          <w:sz w:val="24"/>
          <w:szCs w:val="24"/>
        </w:rPr>
        <w:t xml:space="preserve">expidió el </w:t>
      </w:r>
      <w:r>
        <w:rPr>
          <w:rFonts w:ascii="Arial" w:hAnsi="Arial" w:cs="Arial"/>
          <w:sz w:val="24"/>
          <w:szCs w:val="24"/>
        </w:rPr>
        <w:t>concepto unificador</w:t>
      </w:r>
      <w:r w:rsidR="00C47B40">
        <w:rPr>
          <w:rStyle w:val="Refdenotaalpie"/>
          <w:rFonts w:ascii="Arial" w:hAnsi="Arial" w:cs="Arial"/>
          <w:sz w:val="24"/>
          <w:szCs w:val="24"/>
        </w:rPr>
        <w:footnoteReference w:id="1"/>
      </w:r>
      <w:r w:rsidR="00DD01AA">
        <w:rPr>
          <w:rFonts w:ascii="Arial" w:hAnsi="Arial" w:cs="Arial"/>
          <w:sz w:val="24"/>
          <w:szCs w:val="24"/>
        </w:rPr>
        <w:t xml:space="preserve"> donde se realizó </w:t>
      </w:r>
      <w:r w:rsidR="00C47B40">
        <w:rPr>
          <w:rFonts w:ascii="Arial" w:hAnsi="Arial" w:cs="Arial"/>
          <w:sz w:val="24"/>
          <w:szCs w:val="24"/>
        </w:rPr>
        <w:t>análisis</w:t>
      </w:r>
      <w:r w:rsidR="00DD01AA">
        <w:rPr>
          <w:rFonts w:ascii="Arial" w:hAnsi="Arial" w:cs="Arial"/>
          <w:sz w:val="24"/>
          <w:szCs w:val="24"/>
        </w:rPr>
        <w:t xml:space="preserve"> de cada una </w:t>
      </w:r>
      <w:r w:rsidR="007727E9">
        <w:rPr>
          <w:rFonts w:ascii="Arial" w:hAnsi="Arial" w:cs="Arial"/>
          <w:sz w:val="24"/>
          <w:szCs w:val="24"/>
        </w:rPr>
        <w:t xml:space="preserve">de </w:t>
      </w:r>
      <w:r w:rsidR="00A00F35">
        <w:rPr>
          <w:rFonts w:ascii="Arial" w:hAnsi="Arial" w:cs="Arial"/>
          <w:sz w:val="24"/>
          <w:szCs w:val="24"/>
        </w:rPr>
        <w:t>la</w:t>
      </w:r>
      <w:r w:rsidR="00416F7E">
        <w:rPr>
          <w:rFonts w:ascii="Arial" w:hAnsi="Arial" w:cs="Arial"/>
          <w:sz w:val="24"/>
          <w:szCs w:val="24"/>
        </w:rPr>
        <w:t>s estampillas</w:t>
      </w:r>
      <w:r w:rsidR="00A00F35">
        <w:rPr>
          <w:rFonts w:ascii="Arial" w:hAnsi="Arial" w:cs="Arial"/>
          <w:sz w:val="24"/>
          <w:szCs w:val="24"/>
        </w:rPr>
        <w:t xml:space="preserve"> </w:t>
      </w:r>
      <w:r w:rsidR="00DD01AA">
        <w:rPr>
          <w:rFonts w:ascii="Arial" w:hAnsi="Arial" w:cs="Arial"/>
          <w:sz w:val="24"/>
          <w:szCs w:val="24"/>
        </w:rPr>
        <w:t>que se causan en el Distrito Capital</w:t>
      </w:r>
      <w:r w:rsidR="00416F7E">
        <w:rPr>
          <w:rFonts w:ascii="Arial" w:hAnsi="Arial" w:cs="Arial"/>
          <w:sz w:val="24"/>
          <w:szCs w:val="24"/>
        </w:rPr>
        <w:t>, su</w:t>
      </w:r>
      <w:r w:rsidR="00465673">
        <w:rPr>
          <w:rFonts w:ascii="Arial" w:hAnsi="Arial" w:cs="Arial"/>
          <w:sz w:val="24"/>
          <w:szCs w:val="24"/>
        </w:rPr>
        <w:t xml:space="preserve">s </w:t>
      </w:r>
      <w:r w:rsidR="00DD01AA">
        <w:rPr>
          <w:rFonts w:ascii="Arial" w:hAnsi="Arial" w:cs="Arial"/>
          <w:sz w:val="24"/>
          <w:szCs w:val="24"/>
        </w:rPr>
        <w:t>hecho</w:t>
      </w:r>
      <w:r w:rsidR="00416F7E">
        <w:rPr>
          <w:rFonts w:ascii="Arial" w:hAnsi="Arial" w:cs="Arial"/>
          <w:sz w:val="24"/>
          <w:szCs w:val="24"/>
        </w:rPr>
        <w:t>s</w:t>
      </w:r>
      <w:r w:rsidR="00DD01AA">
        <w:rPr>
          <w:rFonts w:ascii="Arial" w:hAnsi="Arial" w:cs="Arial"/>
          <w:sz w:val="24"/>
          <w:szCs w:val="24"/>
        </w:rPr>
        <w:t xml:space="preserve"> generador</w:t>
      </w:r>
      <w:r w:rsidR="00416F7E">
        <w:rPr>
          <w:rFonts w:ascii="Arial" w:hAnsi="Arial" w:cs="Arial"/>
          <w:sz w:val="24"/>
          <w:szCs w:val="24"/>
        </w:rPr>
        <w:t>es</w:t>
      </w:r>
      <w:r w:rsidR="00DD01AA">
        <w:rPr>
          <w:rFonts w:ascii="Arial" w:hAnsi="Arial" w:cs="Arial"/>
          <w:sz w:val="24"/>
          <w:szCs w:val="24"/>
        </w:rPr>
        <w:t xml:space="preserve">, los sujetos </w:t>
      </w:r>
      <w:r w:rsidR="00416F7E">
        <w:rPr>
          <w:rFonts w:ascii="Arial" w:hAnsi="Arial" w:cs="Arial"/>
          <w:sz w:val="24"/>
          <w:szCs w:val="24"/>
        </w:rPr>
        <w:t>pasivos</w:t>
      </w:r>
      <w:r w:rsidR="005702EC">
        <w:rPr>
          <w:rFonts w:ascii="Arial" w:hAnsi="Arial" w:cs="Arial"/>
          <w:sz w:val="24"/>
          <w:szCs w:val="24"/>
        </w:rPr>
        <w:t>,</w:t>
      </w:r>
      <w:r w:rsidR="007727E9">
        <w:rPr>
          <w:rFonts w:ascii="Arial" w:hAnsi="Arial" w:cs="Arial"/>
          <w:sz w:val="24"/>
          <w:szCs w:val="24"/>
        </w:rPr>
        <w:t xml:space="preserve"> así como las exclusiones</w:t>
      </w:r>
      <w:r w:rsidR="001941D7">
        <w:rPr>
          <w:rFonts w:ascii="Arial" w:hAnsi="Arial" w:cs="Arial"/>
          <w:sz w:val="24"/>
          <w:szCs w:val="24"/>
        </w:rPr>
        <w:t>:</w:t>
      </w:r>
      <w:r>
        <w:rPr>
          <w:rFonts w:ascii="Arial" w:hAnsi="Arial" w:cs="Arial"/>
          <w:sz w:val="24"/>
          <w:szCs w:val="24"/>
        </w:rPr>
        <w:t xml:space="preserve"> </w:t>
      </w:r>
    </w:p>
    <w:p w14:paraId="6BB284DD" w14:textId="77777777" w:rsidR="00654C18" w:rsidRDefault="00654C18" w:rsidP="007F4187">
      <w:pPr>
        <w:ind w:right="-567"/>
        <w:jc w:val="both"/>
        <w:rPr>
          <w:rFonts w:ascii="Arial" w:hAnsi="Arial" w:cs="Arial"/>
          <w:sz w:val="24"/>
          <w:szCs w:val="24"/>
        </w:rPr>
      </w:pPr>
    </w:p>
    <w:p w14:paraId="4B6D9083" w14:textId="294DA46D" w:rsidR="001941D7" w:rsidRDefault="00654C18" w:rsidP="007F4187">
      <w:pPr>
        <w:ind w:left="284" w:right="-567"/>
        <w:jc w:val="both"/>
        <w:rPr>
          <w:rFonts w:ascii="Arial" w:hAnsi="Arial" w:cs="Arial"/>
          <w:i/>
          <w:iCs/>
          <w:sz w:val="22"/>
          <w:szCs w:val="22"/>
        </w:rPr>
      </w:pPr>
      <w:r>
        <w:rPr>
          <w:rFonts w:ascii="Arial" w:hAnsi="Arial" w:cs="Arial"/>
          <w:i/>
          <w:iCs/>
          <w:sz w:val="22"/>
          <w:szCs w:val="22"/>
        </w:rPr>
        <w:t>“</w:t>
      </w:r>
      <w:r w:rsidRPr="00654C18">
        <w:rPr>
          <w:rFonts w:ascii="Arial" w:hAnsi="Arial" w:cs="Arial"/>
          <w:i/>
          <w:iCs/>
          <w:sz w:val="22"/>
          <w:szCs w:val="22"/>
        </w:rPr>
        <w:sym w:font="Symbol" w:char="F0B7"/>
      </w:r>
      <w:r w:rsidRPr="00654C18">
        <w:rPr>
          <w:rFonts w:ascii="Arial" w:hAnsi="Arial" w:cs="Arial"/>
          <w:i/>
          <w:iCs/>
          <w:sz w:val="22"/>
          <w:szCs w:val="22"/>
        </w:rPr>
        <w:t xml:space="preserve"> Estampilla Universidad Pedagógica, el Acuerdo Distrital 568 de 2014 dispone:</w:t>
      </w:r>
    </w:p>
    <w:p w14:paraId="6890326A" w14:textId="77777777" w:rsidR="00654C18" w:rsidRPr="00654C18" w:rsidRDefault="00654C18" w:rsidP="007F4187">
      <w:pPr>
        <w:ind w:left="284" w:right="-567"/>
        <w:jc w:val="both"/>
        <w:rPr>
          <w:rFonts w:ascii="Arial" w:hAnsi="Arial" w:cs="Arial"/>
          <w:i/>
          <w:iCs/>
          <w:sz w:val="22"/>
          <w:szCs w:val="22"/>
        </w:rPr>
      </w:pPr>
    </w:p>
    <w:p w14:paraId="0D3874B3" w14:textId="6F1A7094" w:rsidR="00305461" w:rsidRDefault="00654C18" w:rsidP="007F4187">
      <w:pPr>
        <w:ind w:left="284" w:right="-567"/>
        <w:jc w:val="both"/>
        <w:rPr>
          <w:rFonts w:ascii="Arial" w:hAnsi="Arial" w:cs="Arial"/>
          <w:i/>
          <w:iCs/>
          <w:sz w:val="22"/>
          <w:szCs w:val="22"/>
        </w:rPr>
      </w:pPr>
      <w:r w:rsidRPr="00654C18">
        <w:rPr>
          <w:rFonts w:ascii="Arial" w:hAnsi="Arial" w:cs="Arial"/>
          <w:i/>
          <w:iCs/>
          <w:sz w:val="22"/>
          <w:szCs w:val="22"/>
        </w:rPr>
        <w:t>“Artículo 2°. Sujetos pasivos. La contribución parafiscal de la estampilla "Cincuenta años de labor de la Universidad Pedagógica Nacional", se aplicará a todos los contratistas que suscriban y/o adicionen contratos de: estudios de factibilidad, diseños, consultorías, contratos e interventorías de obra pública que se realicen en la jurisdicción del Distrito Capital de Bogotá”. (Negrilla fuera del texto)</w:t>
      </w:r>
    </w:p>
    <w:p w14:paraId="645DC0D2" w14:textId="77777777" w:rsidR="00654C18" w:rsidRPr="00654C18" w:rsidRDefault="00654C18" w:rsidP="007F4187">
      <w:pPr>
        <w:ind w:left="284" w:right="-567"/>
        <w:jc w:val="both"/>
        <w:rPr>
          <w:rFonts w:ascii="Arial" w:hAnsi="Arial" w:cs="Arial"/>
          <w:i/>
          <w:iCs/>
          <w:sz w:val="22"/>
          <w:szCs w:val="22"/>
        </w:rPr>
      </w:pPr>
    </w:p>
    <w:p w14:paraId="326DB400" w14:textId="005C770A" w:rsidR="00654C18" w:rsidRDefault="00654C18" w:rsidP="007F4187">
      <w:pPr>
        <w:ind w:left="284" w:right="-567"/>
        <w:jc w:val="both"/>
        <w:rPr>
          <w:rFonts w:ascii="Arial" w:hAnsi="Arial" w:cs="Arial"/>
          <w:i/>
          <w:iCs/>
          <w:sz w:val="22"/>
          <w:szCs w:val="22"/>
        </w:rPr>
      </w:pPr>
      <w:r w:rsidRPr="00654C18">
        <w:rPr>
          <w:rFonts w:ascii="Arial" w:hAnsi="Arial" w:cs="Arial"/>
          <w:i/>
          <w:iCs/>
          <w:sz w:val="22"/>
          <w:szCs w:val="22"/>
        </w:rPr>
        <w:sym w:font="Symbol" w:char="F0B7"/>
      </w:r>
      <w:r w:rsidRPr="00654C18">
        <w:rPr>
          <w:rFonts w:ascii="Arial" w:hAnsi="Arial" w:cs="Arial"/>
          <w:i/>
          <w:iCs/>
          <w:sz w:val="22"/>
          <w:szCs w:val="22"/>
        </w:rPr>
        <w:t xml:space="preserve"> Estampilla Universidad Distrital, el Acuerdo Distrital 696 de 2017 establece:</w:t>
      </w:r>
    </w:p>
    <w:p w14:paraId="764F741A" w14:textId="6125EF7F" w:rsidR="00654C18" w:rsidRDefault="00654C18" w:rsidP="007F4187">
      <w:pPr>
        <w:ind w:left="284" w:right="-567"/>
        <w:jc w:val="both"/>
        <w:rPr>
          <w:rFonts w:ascii="Arial" w:hAnsi="Arial" w:cs="Arial"/>
          <w:i/>
          <w:iCs/>
          <w:sz w:val="22"/>
          <w:szCs w:val="22"/>
        </w:rPr>
      </w:pPr>
    </w:p>
    <w:p w14:paraId="0761D280" w14:textId="3EC152FC" w:rsidR="00654C18" w:rsidRPr="00654C18" w:rsidRDefault="00654C18" w:rsidP="007F4187">
      <w:pPr>
        <w:ind w:left="284" w:right="-567"/>
        <w:jc w:val="both"/>
        <w:rPr>
          <w:rFonts w:ascii="Arial" w:hAnsi="Arial" w:cs="Arial"/>
          <w:i/>
          <w:iCs/>
          <w:sz w:val="22"/>
          <w:szCs w:val="22"/>
        </w:rPr>
      </w:pPr>
      <w:r w:rsidRPr="00654C18">
        <w:rPr>
          <w:rFonts w:ascii="Arial" w:hAnsi="Arial" w:cs="Arial"/>
          <w:i/>
          <w:iCs/>
          <w:sz w:val="22"/>
          <w:szCs w:val="22"/>
        </w:rPr>
        <w:t>“Artículo Segundo. Sujeto Pasivo, Causación y Tarifa. Todas las personas naturales y jurídicas que suscriban contratos con los organismos y entidades de la Administración Central, los Establecimientos Públicos del Distrito Capital de Bogotá y con la Universidad Distrital deberán pagar a favor de la misma Universidad Distrital y la Universidad Nacional de Colombia sede Bogotá, la Estampilla Universidad Distrital Francisco José de Caldas 50 años, equivalente al uno punto uno por ciento (1.1%) del valor del pago anticipado, si lo hubiere, y de cada cuenta que se le pague al contratista”. (Negrilla fuera del texto)</w:t>
      </w:r>
    </w:p>
    <w:p w14:paraId="39451094" w14:textId="18072BBF" w:rsidR="00654C18" w:rsidRDefault="00654C18" w:rsidP="007F4187">
      <w:pPr>
        <w:ind w:left="284" w:right="-567"/>
        <w:jc w:val="both"/>
        <w:rPr>
          <w:rFonts w:ascii="Arial" w:hAnsi="Arial" w:cs="Arial"/>
          <w:sz w:val="24"/>
          <w:szCs w:val="24"/>
        </w:rPr>
      </w:pPr>
    </w:p>
    <w:p w14:paraId="6625FD79" w14:textId="74BCAD29" w:rsidR="007A588B" w:rsidRDefault="007A588B" w:rsidP="007F4187">
      <w:pPr>
        <w:ind w:left="284" w:right="-567"/>
        <w:jc w:val="both"/>
        <w:rPr>
          <w:rFonts w:ascii="Arial" w:hAnsi="Arial" w:cs="Arial"/>
          <w:i/>
          <w:iCs/>
          <w:sz w:val="22"/>
          <w:szCs w:val="22"/>
        </w:rPr>
      </w:pPr>
      <w:r w:rsidRPr="007A588B">
        <w:rPr>
          <w:rFonts w:ascii="Arial" w:hAnsi="Arial" w:cs="Arial"/>
          <w:i/>
          <w:iCs/>
          <w:sz w:val="22"/>
          <w:szCs w:val="22"/>
        </w:rPr>
        <w:sym w:font="Symbol" w:char="F0B7"/>
      </w:r>
      <w:r w:rsidRPr="007A588B">
        <w:rPr>
          <w:rFonts w:ascii="Arial" w:hAnsi="Arial" w:cs="Arial"/>
          <w:i/>
          <w:iCs/>
          <w:sz w:val="22"/>
          <w:szCs w:val="22"/>
        </w:rPr>
        <w:t xml:space="preserve"> Estampilla para el Bienestar del Adulto Mayor, el Acuerdo Distrital 669 de 2017 también establece como hecho generador la suscripción de un contrato con una entidad que haga parte del Presupuesto Anual del Distrito:</w:t>
      </w:r>
    </w:p>
    <w:p w14:paraId="054BE4ED" w14:textId="77777777" w:rsidR="00E60E28" w:rsidRPr="007A588B" w:rsidRDefault="00E60E28" w:rsidP="007F4187">
      <w:pPr>
        <w:ind w:left="284" w:right="-567"/>
        <w:jc w:val="both"/>
        <w:rPr>
          <w:rFonts w:ascii="Arial" w:hAnsi="Arial" w:cs="Arial"/>
          <w:i/>
          <w:iCs/>
          <w:sz w:val="22"/>
          <w:szCs w:val="22"/>
        </w:rPr>
      </w:pPr>
    </w:p>
    <w:p w14:paraId="16B4B973" w14:textId="4B9A0248" w:rsidR="007A588B" w:rsidRPr="00E60E28" w:rsidRDefault="00E60E28" w:rsidP="007F4187">
      <w:pPr>
        <w:ind w:left="284" w:right="-567"/>
        <w:jc w:val="both"/>
        <w:rPr>
          <w:rFonts w:ascii="Arial" w:hAnsi="Arial" w:cs="Arial"/>
          <w:i/>
          <w:iCs/>
          <w:sz w:val="22"/>
          <w:szCs w:val="22"/>
        </w:rPr>
      </w:pPr>
      <w:r w:rsidRPr="00E60E28">
        <w:rPr>
          <w:rFonts w:ascii="Arial" w:hAnsi="Arial" w:cs="Arial"/>
          <w:i/>
          <w:iCs/>
          <w:sz w:val="22"/>
          <w:szCs w:val="22"/>
        </w:rPr>
        <w:t xml:space="preserve">“Artículo 4. Causación. Las entidades que conforman el presupuesto anual de Distrito Capital de Bogotá serán agentes de retención de la “Estampilla para el Bienestar del Adulto Mayor”, por lo cual descontarán, al momento de los pagos y de los pagos anticipados de los contratos y adiciones que suscriban, el dos por ciento (2%) de cada valor pagado, sin incluir el impuesto a las ventas </w:t>
      </w:r>
      <w:proofErr w:type="gramStart"/>
      <w:r w:rsidRPr="00E60E28">
        <w:rPr>
          <w:rFonts w:ascii="Arial" w:hAnsi="Arial" w:cs="Arial"/>
          <w:i/>
          <w:iCs/>
          <w:sz w:val="22"/>
          <w:szCs w:val="22"/>
        </w:rPr>
        <w:t>de acuerdo a</w:t>
      </w:r>
      <w:proofErr w:type="gramEnd"/>
      <w:r w:rsidRPr="00E60E28">
        <w:rPr>
          <w:rFonts w:ascii="Arial" w:hAnsi="Arial" w:cs="Arial"/>
          <w:i/>
          <w:iCs/>
          <w:sz w:val="22"/>
          <w:szCs w:val="22"/>
        </w:rPr>
        <w:t xml:space="preserve"> lo establecido en el artículo 4 de la Ley 1276 de 2009”. (Negrilla fuera de texto)</w:t>
      </w:r>
    </w:p>
    <w:p w14:paraId="6E56681C" w14:textId="77777777" w:rsidR="00E60E28" w:rsidRDefault="00E60E28" w:rsidP="007F4187">
      <w:pPr>
        <w:ind w:left="284" w:right="-567"/>
        <w:jc w:val="both"/>
        <w:rPr>
          <w:rFonts w:ascii="Arial" w:hAnsi="Arial" w:cs="Arial"/>
          <w:sz w:val="24"/>
          <w:szCs w:val="24"/>
        </w:rPr>
      </w:pPr>
    </w:p>
    <w:p w14:paraId="2F211552" w14:textId="67E02F39" w:rsidR="007A588B" w:rsidRPr="00E60E28" w:rsidRDefault="00E60E28" w:rsidP="007F4187">
      <w:pPr>
        <w:ind w:left="284" w:right="-567"/>
        <w:jc w:val="both"/>
        <w:rPr>
          <w:rFonts w:ascii="Arial" w:hAnsi="Arial" w:cs="Arial"/>
          <w:i/>
          <w:iCs/>
          <w:sz w:val="22"/>
          <w:szCs w:val="22"/>
        </w:rPr>
      </w:pPr>
      <w:r w:rsidRPr="00E60E28">
        <w:rPr>
          <w:rFonts w:ascii="Arial" w:hAnsi="Arial" w:cs="Arial"/>
          <w:i/>
          <w:iCs/>
          <w:sz w:val="22"/>
          <w:szCs w:val="22"/>
        </w:rPr>
        <w:t xml:space="preserve">“Artículo 6. Exclusiones. Están excluidos del pago de la “Estampilla para el Bienestar del Adulto Mayor", los convenios interadministrativos y los contratos que las entidades que conforman el presupuesto anual del Distrito Capital de Bogotá, suscriban con las entidades de derecho público, juntas de acción comunal, ligas deportivas distritales y locales con personería jurídica reconocida por la entidad competente, los contratos de empréstitos y las operaciones de crédito público, las operaciones de manejo y las conexas con las anteriores”. </w:t>
      </w:r>
    </w:p>
    <w:p w14:paraId="436C8EC5" w14:textId="02A94852" w:rsidR="007A588B" w:rsidRDefault="007A588B" w:rsidP="007F4187">
      <w:pPr>
        <w:ind w:left="284" w:right="-567"/>
        <w:jc w:val="both"/>
        <w:rPr>
          <w:rFonts w:ascii="Arial" w:hAnsi="Arial" w:cs="Arial"/>
          <w:sz w:val="24"/>
          <w:szCs w:val="24"/>
        </w:rPr>
      </w:pPr>
    </w:p>
    <w:p w14:paraId="33481B27" w14:textId="2B21BF01" w:rsidR="0099490C" w:rsidRPr="0099490C" w:rsidRDefault="0099490C" w:rsidP="007F4187">
      <w:pPr>
        <w:ind w:left="284" w:right="-567"/>
        <w:jc w:val="both"/>
        <w:rPr>
          <w:rFonts w:ascii="Arial" w:hAnsi="Arial" w:cs="Arial"/>
          <w:i/>
          <w:iCs/>
          <w:sz w:val="22"/>
          <w:szCs w:val="22"/>
        </w:rPr>
      </w:pPr>
      <w:r w:rsidRPr="0099490C">
        <w:rPr>
          <w:rFonts w:ascii="Arial" w:hAnsi="Arial" w:cs="Arial"/>
          <w:i/>
          <w:iCs/>
          <w:sz w:val="22"/>
          <w:szCs w:val="22"/>
        </w:rPr>
        <w:lastRenderedPageBreak/>
        <w:sym w:font="Symbol" w:char="F0B7"/>
      </w:r>
      <w:r w:rsidRPr="0099490C">
        <w:rPr>
          <w:rFonts w:ascii="Arial" w:hAnsi="Arial" w:cs="Arial"/>
          <w:i/>
          <w:iCs/>
          <w:sz w:val="22"/>
          <w:szCs w:val="22"/>
        </w:rPr>
        <w:t xml:space="preserve"> Estampilla Pro – Cultura de Bogotá, el Acuerdo Distrital 187 de 2005, dispone:</w:t>
      </w:r>
    </w:p>
    <w:p w14:paraId="57974307" w14:textId="60F342ED" w:rsidR="0099490C" w:rsidRDefault="0099490C" w:rsidP="007F4187">
      <w:pPr>
        <w:ind w:left="284" w:right="-567"/>
        <w:jc w:val="both"/>
        <w:rPr>
          <w:rFonts w:ascii="Arial" w:hAnsi="Arial" w:cs="Arial"/>
          <w:sz w:val="24"/>
          <w:szCs w:val="24"/>
        </w:rPr>
      </w:pPr>
    </w:p>
    <w:p w14:paraId="6F5B60B3" w14:textId="0126F51C" w:rsidR="0099490C" w:rsidRDefault="0099490C" w:rsidP="007F4187">
      <w:pPr>
        <w:ind w:left="284" w:right="-567"/>
        <w:jc w:val="both"/>
        <w:rPr>
          <w:rFonts w:ascii="Arial" w:hAnsi="Arial" w:cs="Arial"/>
          <w:i/>
          <w:iCs/>
          <w:sz w:val="22"/>
          <w:szCs w:val="22"/>
        </w:rPr>
      </w:pPr>
      <w:r w:rsidRPr="0099490C">
        <w:rPr>
          <w:rFonts w:ascii="Arial" w:hAnsi="Arial" w:cs="Arial"/>
          <w:i/>
          <w:iCs/>
          <w:sz w:val="22"/>
          <w:szCs w:val="22"/>
        </w:rPr>
        <w:t>Artículo Sexto. Hecho Generador. La suscripción de contratos y las adiciones a los mismos con las entidades que conforman el presupuesto anual del Distrito Capital de Bogotá.” (Negrilla fuera del texto)</w:t>
      </w:r>
    </w:p>
    <w:p w14:paraId="4E95E9F2" w14:textId="683CBA49" w:rsidR="0099490C" w:rsidRDefault="0099490C" w:rsidP="007F4187">
      <w:pPr>
        <w:ind w:left="284" w:right="-567"/>
        <w:jc w:val="both"/>
        <w:rPr>
          <w:rFonts w:ascii="Arial" w:hAnsi="Arial" w:cs="Arial"/>
          <w:i/>
          <w:iCs/>
          <w:sz w:val="22"/>
          <w:szCs w:val="22"/>
        </w:rPr>
      </w:pPr>
    </w:p>
    <w:p w14:paraId="7CC371DC" w14:textId="5B3CEA4F" w:rsidR="0099490C" w:rsidRDefault="00BD4C75" w:rsidP="007F4187">
      <w:pPr>
        <w:ind w:left="284" w:right="-567"/>
        <w:jc w:val="both"/>
        <w:rPr>
          <w:rFonts w:ascii="Arial" w:hAnsi="Arial" w:cs="Arial"/>
          <w:i/>
          <w:iCs/>
          <w:sz w:val="22"/>
          <w:szCs w:val="22"/>
        </w:rPr>
      </w:pPr>
      <w:r w:rsidRPr="00BD4C75">
        <w:rPr>
          <w:rFonts w:ascii="Arial" w:hAnsi="Arial" w:cs="Arial"/>
          <w:i/>
          <w:iCs/>
          <w:sz w:val="22"/>
          <w:szCs w:val="22"/>
        </w:rPr>
        <w:t>Artículo Séptimo. Exclusiones. Están excluidos del pago de la estampilla "PRO CULTURA", los convenios interadministrativos y los contratos que las entidades que</w:t>
      </w:r>
      <w:r>
        <w:rPr>
          <w:rFonts w:ascii="Arial" w:hAnsi="Arial" w:cs="Arial"/>
          <w:i/>
          <w:iCs/>
          <w:sz w:val="22"/>
          <w:szCs w:val="22"/>
        </w:rPr>
        <w:t xml:space="preserve"> </w:t>
      </w:r>
      <w:r w:rsidRPr="00BD4C75">
        <w:rPr>
          <w:rFonts w:ascii="Arial" w:hAnsi="Arial" w:cs="Arial"/>
          <w:i/>
          <w:iCs/>
          <w:sz w:val="22"/>
          <w:szCs w:val="22"/>
        </w:rPr>
        <w:t xml:space="preserve">conforman el presupuesto anual del Distrito Capital de Bogotá, suscriban con las entidades de derecho público, juntas de acción comunal, ligas deportivas municipales y locales con personería jurídica reconocida por la entidad competente, préstamos del Fondo de Vivienda Distrital, los contratos de empréstitos y las operaciones de crédito público, las operaciones del manejo y conexas con las anteriores. </w:t>
      </w:r>
    </w:p>
    <w:p w14:paraId="4AF5B6E2" w14:textId="77777777" w:rsidR="00EC46A1" w:rsidRDefault="00EC46A1" w:rsidP="007F4187">
      <w:pPr>
        <w:ind w:left="284" w:right="-567"/>
        <w:jc w:val="both"/>
        <w:rPr>
          <w:rFonts w:ascii="Arial" w:hAnsi="Arial" w:cs="Arial"/>
          <w:i/>
          <w:iCs/>
          <w:sz w:val="22"/>
          <w:szCs w:val="22"/>
        </w:rPr>
      </w:pPr>
    </w:p>
    <w:tbl>
      <w:tblPr>
        <w:tblStyle w:val="Tablaconcuadrcula"/>
        <w:tblW w:w="0" w:type="auto"/>
        <w:tblInd w:w="567" w:type="dxa"/>
        <w:tblLook w:val="04A0" w:firstRow="1" w:lastRow="0" w:firstColumn="1" w:lastColumn="0" w:noHBand="0" w:noVBand="1"/>
      </w:tblPr>
      <w:tblGrid>
        <w:gridCol w:w="1857"/>
        <w:gridCol w:w="5793"/>
      </w:tblGrid>
      <w:tr w:rsidR="00BD4C75" w14:paraId="63E448E1" w14:textId="77777777" w:rsidTr="00ED7A67">
        <w:tc>
          <w:tcPr>
            <w:tcW w:w="1857" w:type="dxa"/>
          </w:tcPr>
          <w:p w14:paraId="6BE88F82" w14:textId="3A8CA99E" w:rsidR="00BD4C75" w:rsidRPr="00F73052" w:rsidRDefault="001A0E75" w:rsidP="007F4187">
            <w:pPr>
              <w:ind w:left="284" w:right="-567"/>
              <w:jc w:val="center"/>
              <w:rPr>
                <w:rFonts w:ascii="Arial" w:hAnsi="Arial" w:cs="Arial"/>
                <w:b/>
                <w:bCs/>
                <w:i/>
                <w:iCs/>
              </w:rPr>
            </w:pPr>
            <w:r w:rsidRPr="00F73052">
              <w:rPr>
                <w:rFonts w:ascii="Arial" w:hAnsi="Arial" w:cs="Arial"/>
                <w:b/>
                <w:bCs/>
                <w:i/>
                <w:iCs/>
              </w:rPr>
              <w:t>ESTAMPILLA</w:t>
            </w:r>
          </w:p>
        </w:tc>
        <w:tc>
          <w:tcPr>
            <w:tcW w:w="5793" w:type="dxa"/>
          </w:tcPr>
          <w:p w14:paraId="53D66B6E" w14:textId="24EABA4E" w:rsidR="00BD4C75" w:rsidRPr="00F73052" w:rsidRDefault="001A0E75" w:rsidP="007F4187">
            <w:pPr>
              <w:ind w:left="284" w:right="-567"/>
              <w:jc w:val="center"/>
              <w:rPr>
                <w:rFonts w:ascii="Arial" w:hAnsi="Arial" w:cs="Arial"/>
                <w:b/>
                <w:bCs/>
                <w:i/>
                <w:iCs/>
              </w:rPr>
            </w:pPr>
            <w:r w:rsidRPr="00F73052">
              <w:rPr>
                <w:rFonts w:ascii="Arial" w:hAnsi="Arial" w:cs="Arial"/>
                <w:b/>
                <w:bCs/>
                <w:i/>
                <w:iCs/>
              </w:rPr>
              <w:t>HECHO GENERADOR</w:t>
            </w:r>
          </w:p>
        </w:tc>
      </w:tr>
      <w:tr w:rsidR="00BD4C75" w14:paraId="27BD61F2" w14:textId="77777777" w:rsidTr="00ED7A67">
        <w:tc>
          <w:tcPr>
            <w:tcW w:w="1857" w:type="dxa"/>
          </w:tcPr>
          <w:p w14:paraId="47CCCB7C" w14:textId="3F341FB4" w:rsidR="00BD4C75" w:rsidRPr="00F73052" w:rsidRDefault="001A0E75" w:rsidP="007F4187">
            <w:pPr>
              <w:ind w:left="284" w:right="-567"/>
              <w:jc w:val="both"/>
              <w:rPr>
                <w:rFonts w:ascii="Arial" w:hAnsi="Arial" w:cs="Arial"/>
                <w:b/>
                <w:bCs/>
                <w:i/>
                <w:iCs/>
              </w:rPr>
            </w:pPr>
            <w:r w:rsidRPr="00F73052">
              <w:rPr>
                <w:rFonts w:ascii="Arial" w:hAnsi="Arial" w:cs="Arial"/>
                <w:b/>
                <w:bCs/>
                <w:i/>
                <w:iCs/>
              </w:rPr>
              <w:t>Universidad Distrital</w:t>
            </w:r>
          </w:p>
        </w:tc>
        <w:tc>
          <w:tcPr>
            <w:tcW w:w="5793" w:type="dxa"/>
          </w:tcPr>
          <w:p w14:paraId="16A73588" w14:textId="4E127B54" w:rsidR="00BD4C75" w:rsidRPr="00F73052" w:rsidRDefault="001A0E75" w:rsidP="007F4187">
            <w:pPr>
              <w:ind w:left="284" w:right="-567"/>
              <w:jc w:val="both"/>
              <w:rPr>
                <w:rFonts w:ascii="Arial" w:hAnsi="Arial" w:cs="Arial"/>
                <w:i/>
                <w:iCs/>
              </w:rPr>
            </w:pPr>
            <w:r w:rsidRPr="00F73052">
              <w:rPr>
                <w:rFonts w:ascii="Arial" w:hAnsi="Arial" w:cs="Arial"/>
                <w:i/>
                <w:iCs/>
              </w:rPr>
              <w:t>Suscribir y/o adicionar contratos con los organismos y entidades de la administración central, establecimientos públicos del Distrito Capital de Bogotá y con la Universidad Distrital, con el fin de prestar un servicio, construir una obra o transferir el derecho de dominio a título oneroso, o cualquier otra actividad con ánimo de lucro.</w:t>
            </w:r>
          </w:p>
        </w:tc>
      </w:tr>
      <w:tr w:rsidR="00BD4C75" w14:paraId="7C3CE9A8" w14:textId="77777777" w:rsidTr="00ED7A67">
        <w:tc>
          <w:tcPr>
            <w:tcW w:w="1857" w:type="dxa"/>
          </w:tcPr>
          <w:p w14:paraId="27635BF4" w14:textId="393C2459" w:rsidR="00BD4C75" w:rsidRPr="00F73052" w:rsidRDefault="001A0E75" w:rsidP="007F4187">
            <w:pPr>
              <w:ind w:left="284" w:right="-567"/>
              <w:jc w:val="both"/>
              <w:rPr>
                <w:rFonts w:ascii="Arial" w:hAnsi="Arial" w:cs="Arial"/>
                <w:b/>
                <w:bCs/>
                <w:i/>
                <w:iCs/>
              </w:rPr>
            </w:pPr>
            <w:r w:rsidRPr="00F73052">
              <w:rPr>
                <w:rFonts w:ascii="Arial" w:hAnsi="Arial" w:cs="Arial"/>
                <w:b/>
                <w:bCs/>
                <w:i/>
                <w:iCs/>
              </w:rPr>
              <w:t>Universidad Pedagógica</w:t>
            </w:r>
          </w:p>
        </w:tc>
        <w:tc>
          <w:tcPr>
            <w:tcW w:w="5793" w:type="dxa"/>
          </w:tcPr>
          <w:p w14:paraId="29CB6DB8" w14:textId="7B68DA14" w:rsidR="00BD4C75" w:rsidRPr="00F73052" w:rsidRDefault="001A0E75" w:rsidP="007F4187">
            <w:pPr>
              <w:ind w:left="284" w:right="-567"/>
              <w:jc w:val="both"/>
              <w:rPr>
                <w:rFonts w:ascii="Arial" w:hAnsi="Arial" w:cs="Arial"/>
                <w:i/>
                <w:iCs/>
              </w:rPr>
            </w:pPr>
            <w:r w:rsidRPr="00F73052">
              <w:rPr>
                <w:rFonts w:ascii="Arial" w:hAnsi="Arial" w:cs="Arial"/>
                <w:i/>
                <w:iCs/>
              </w:rPr>
              <w:t>Suscribir y adicionar contratos de: estudios de factibilidad, diseños, consultorías, contratos e interventorías de obra pública que se realicen en la jurisdicción del Distrito Capital de Bogotá.</w:t>
            </w:r>
          </w:p>
        </w:tc>
      </w:tr>
      <w:tr w:rsidR="001A0E75" w14:paraId="018EE430" w14:textId="77777777" w:rsidTr="00ED7A67">
        <w:trPr>
          <w:trHeight w:val="128"/>
        </w:trPr>
        <w:tc>
          <w:tcPr>
            <w:tcW w:w="1857" w:type="dxa"/>
          </w:tcPr>
          <w:p w14:paraId="47DCCC9D" w14:textId="5DF73E13" w:rsidR="001A0E75" w:rsidRPr="00F73052" w:rsidRDefault="001A0E75" w:rsidP="007F4187">
            <w:pPr>
              <w:ind w:left="284" w:right="-567"/>
              <w:jc w:val="both"/>
              <w:rPr>
                <w:rFonts w:ascii="Arial" w:hAnsi="Arial" w:cs="Arial"/>
                <w:b/>
                <w:bCs/>
                <w:i/>
                <w:iCs/>
              </w:rPr>
            </w:pPr>
            <w:r w:rsidRPr="00F73052">
              <w:rPr>
                <w:rFonts w:ascii="Arial" w:hAnsi="Arial" w:cs="Arial"/>
                <w:b/>
                <w:bCs/>
                <w:i/>
                <w:iCs/>
              </w:rPr>
              <w:t>Para el Bienestar del Adulto Mayor</w:t>
            </w:r>
          </w:p>
        </w:tc>
        <w:tc>
          <w:tcPr>
            <w:tcW w:w="5793" w:type="dxa"/>
            <w:vMerge w:val="restart"/>
          </w:tcPr>
          <w:p w14:paraId="7CA2832A" w14:textId="72F018A0" w:rsidR="001A0E75" w:rsidRPr="00F73052" w:rsidRDefault="00ED7A67" w:rsidP="007F4187">
            <w:pPr>
              <w:ind w:left="284" w:right="-567"/>
              <w:jc w:val="both"/>
              <w:rPr>
                <w:rFonts w:ascii="Arial" w:hAnsi="Arial" w:cs="Arial"/>
                <w:i/>
                <w:iCs/>
              </w:rPr>
            </w:pPr>
            <w:r w:rsidRPr="00F73052">
              <w:rPr>
                <w:rFonts w:ascii="Arial" w:hAnsi="Arial" w:cs="Arial"/>
                <w:i/>
                <w:iCs/>
              </w:rPr>
              <w:t>Suscribir y/o adicionar contratos con las entidades que conforman el Presupuesto Anual del Distrito Capital; con el fin de prestar un servicio, construir una obra o transferir el derecho de dominio a título oneroso, o cualquier otra actividad con ánimo de lucro</w:t>
            </w:r>
          </w:p>
        </w:tc>
      </w:tr>
      <w:tr w:rsidR="001A0E75" w14:paraId="38670550" w14:textId="77777777" w:rsidTr="00ED7A67">
        <w:trPr>
          <w:trHeight w:val="127"/>
        </w:trPr>
        <w:tc>
          <w:tcPr>
            <w:tcW w:w="1857" w:type="dxa"/>
          </w:tcPr>
          <w:p w14:paraId="4D050879" w14:textId="01D239BF" w:rsidR="001A0E75" w:rsidRPr="00F73052" w:rsidRDefault="001A0E75" w:rsidP="007F4187">
            <w:pPr>
              <w:ind w:left="284" w:right="-567"/>
              <w:jc w:val="both"/>
              <w:rPr>
                <w:rFonts w:ascii="Arial" w:hAnsi="Arial" w:cs="Arial"/>
                <w:b/>
                <w:bCs/>
                <w:i/>
                <w:iCs/>
              </w:rPr>
            </w:pPr>
            <w:r w:rsidRPr="00F73052">
              <w:rPr>
                <w:rFonts w:ascii="Arial" w:hAnsi="Arial" w:cs="Arial"/>
                <w:b/>
                <w:bCs/>
                <w:i/>
                <w:iCs/>
              </w:rPr>
              <w:t>Pro</w:t>
            </w:r>
            <w:r w:rsidR="00ED7A67" w:rsidRPr="00F73052">
              <w:rPr>
                <w:rFonts w:ascii="Arial" w:hAnsi="Arial" w:cs="Arial"/>
                <w:b/>
                <w:bCs/>
                <w:i/>
                <w:iCs/>
              </w:rPr>
              <w:t xml:space="preserve">- </w:t>
            </w:r>
            <w:r w:rsidRPr="00F73052">
              <w:rPr>
                <w:rFonts w:ascii="Arial" w:hAnsi="Arial" w:cs="Arial"/>
                <w:b/>
                <w:bCs/>
                <w:i/>
                <w:iCs/>
              </w:rPr>
              <w:t>Cultura de Bogotá</w:t>
            </w:r>
          </w:p>
        </w:tc>
        <w:tc>
          <w:tcPr>
            <w:tcW w:w="5793" w:type="dxa"/>
            <w:vMerge/>
          </w:tcPr>
          <w:p w14:paraId="5522F03C" w14:textId="77777777" w:rsidR="001A0E75" w:rsidRDefault="001A0E75" w:rsidP="007F4187">
            <w:pPr>
              <w:ind w:left="284" w:right="-567"/>
              <w:jc w:val="both"/>
              <w:rPr>
                <w:rFonts w:ascii="Arial" w:hAnsi="Arial" w:cs="Arial"/>
                <w:i/>
                <w:iCs/>
                <w:sz w:val="22"/>
                <w:szCs w:val="22"/>
              </w:rPr>
            </w:pPr>
          </w:p>
        </w:tc>
      </w:tr>
    </w:tbl>
    <w:p w14:paraId="6CC99D40" w14:textId="77777777" w:rsidR="00BD4C75" w:rsidRDefault="00BD4C75" w:rsidP="007F4187">
      <w:pPr>
        <w:ind w:left="284" w:right="-567"/>
        <w:jc w:val="both"/>
        <w:rPr>
          <w:rFonts w:ascii="Arial" w:hAnsi="Arial" w:cs="Arial"/>
          <w:i/>
          <w:iCs/>
          <w:sz w:val="22"/>
          <w:szCs w:val="22"/>
        </w:rPr>
      </w:pPr>
    </w:p>
    <w:p w14:paraId="4FAAACB3" w14:textId="1C1BFCD9" w:rsidR="00BD4C75" w:rsidRDefault="00BD4C75" w:rsidP="007F4187">
      <w:pPr>
        <w:ind w:left="284" w:right="-567"/>
        <w:jc w:val="both"/>
        <w:rPr>
          <w:rFonts w:ascii="Arial" w:hAnsi="Arial" w:cs="Arial"/>
          <w:sz w:val="22"/>
          <w:szCs w:val="22"/>
        </w:rPr>
      </w:pPr>
    </w:p>
    <w:p w14:paraId="27144BCD" w14:textId="19E1A5FF" w:rsidR="001E3FC7" w:rsidRPr="007631CF" w:rsidRDefault="00CE6C2F" w:rsidP="007F4187">
      <w:pPr>
        <w:ind w:right="-567"/>
        <w:jc w:val="both"/>
        <w:rPr>
          <w:rFonts w:ascii="Arial" w:hAnsi="Arial" w:cs="Arial"/>
          <w:sz w:val="24"/>
          <w:szCs w:val="24"/>
        </w:rPr>
      </w:pPr>
      <w:r>
        <w:rPr>
          <w:rFonts w:ascii="Arial" w:hAnsi="Arial" w:cs="Arial"/>
          <w:sz w:val="24"/>
          <w:szCs w:val="24"/>
        </w:rPr>
        <w:t>A</w:t>
      </w:r>
      <w:r w:rsidR="005B5E18">
        <w:rPr>
          <w:rFonts w:ascii="Arial" w:hAnsi="Arial" w:cs="Arial"/>
          <w:sz w:val="24"/>
          <w:szCs w:val="24"/>
        </w:rPr>
        <w:t>dicionalmente,</w:t>
      </w:r>
      <w:r>
        <w:rPr>
          <w:rFonts w:ascii="Arial" w:hAnsi="Arial" w:cs="Arial"/>
          <w:sz w:val="24"/>
          <w:szCs w:val="24"/>
        </w:rPr>
        <w:t xml:space="preserve"> r</w:t>
      </w:r>
      <w:r w:rsidR="001E3FC7" w:rsidRPr="007631CF">
        <w:rPr>
          <w:rFonts w:ascii="Arial" w:hAnsi="Arial" w:cs="Arial"/>
          <w:sz w:val="24"/>
          <w:szCs w:val="24"/>
        </w:rPr>
        <w:t xml:space="preserve">especto del sujeto pasivo y sus exclusiones </w:t>
      </w:r>
      <w:r w:rsidR="00FB6554">
        <w:rPr>
          <w:rFonts w:ascii="Arial" w:hAnsi="Arial" w:cs="Arial"/>
          <w:sz w:val="24"/>
          <w:szCs w:val="24"/>
        </w:rPr>
        <w:t>se precisó</w:t>
      </w:r>
      <w:r w:rsidR="001E3FC7" w:rsidRPr="007631CF">
        <w:rPr>
          <w:rFonts w:ascii="Arial" w:hAnsi="Arial" w:cs="Arial"/>
          <w:sz w:val="24"/>
          <w:szCs w:val="24"/>
        </w:rPr>
        <w:t>:</w:t>
      </w:r>
    </w:p>
    <w:p w14:paraId="0DCA7F90" w14:textId="77777777" w:rsidR="001E3FC7" w:rsidRDefault="001E3FC7" w:rsidP="007F4187">
      <w:pPr>
        <w:ind w:right="-567"/>
        <w:jc w:val="both"/>
        <w:rPr>
          <w:rFonts w:ascii="Arial" w:hAnsi="Arial" w:cs="Arial"/>
          <w:sz w:val="22"/>
          <w:szCs w:val="22"/>
        </w:rPr>
      </w:pPr>
    </w:p>
    <w:p w14:paraId="377582D0" w14:textId="4661E36F" w:rsidR="001E3FC7" w:rsidRDefault="001E3FC7" w:rsidP="007F4187">
      <w:pPr>
        <w:ind w:left="284" w:right="-567"/>
        <w:jc w:val="both"/>
        <w:rPr>
          <w:rFonts w:ascii="Arial" w:hAnsi="Arial" w:cs="Arial"/>
          <w:i/>
          <w:iCs/>
          <w:sz w:val="22"/>
          <w:szCs w:val="22"/>
        </w:rPr>
      </w:pPr>
      <w:r>
        <w:rPr>
          <w:rFonts w:ascii="Arial" w:hAnsi="Arial" w:cs="Arial"/>
          <w:sz w:val="22"/>
          <w:szCs w:val="22"/>
        </w:rPr>
        <w:t xml:space="preserve"> </w:t>
      </w:r>
      <w:r w:rsidR="007631CF">
        <w:rPr>
          <w:rFonts w:ascii="Arial" w:hAnsi="Arial" w:cs="Arial"/>
          <w:sz w:val="22"/>
          <w:szCs w:val="22"/>
        </w:rPr>
        <w:t>“</w:t>
      </w:r>
      <w:r w:rsidRPr="001E3FC7">
        <w:rPr>
          <w:rFonts w:ascii="Arial" w:hAnsi="Arial" w:cs="Arial"/>
          <w:i/>
          <w:iCs/>
          <w:sz w:val="22"/>
          <w:szCs w:val="22"/>
        </w:rPr>
        <w:t>4. El sujeto pasivo de las estampillas y sus exclusiones</w:t>
      </w:r>
    </w:p>
    <w:p w14:paraId="564636C4" w14:textId="5EAFE26E" w:rsidR="001E3FC7" w:rsidRDefault="001E3FC7" w:rsidP="007F4187">
      <w:pPr>
        <w:ind w:left="284" w:right="-567"/>
        <w:jc w:val="both"/>
        <w:rPr>
          <w:rFonts w:ascii="Arial" w:hAnsi="Arial" w:cs="Arial"/>
          <w:i/>
          <w:iCs/>
          <w:sz w:val="22"/>
          <w:szCs w:val="22"/>
        </w:rPr>
      </w:pPr>
    </w:p>
    <w:p w14:paraId="1C8E7F03" w14:textId="599C9E62" w:rsidR="001E3FC7" w:rsidRDefault="001E3FC7" w:rsidP="007F4187">
      <w:pPr>
        <w:ind w:left="284" w:right="-567"/>
        <w:jc w:val="both"/>
        <w:rPr>
          <w:rFonts w:ascii="Arial" w:hAnsi="Arial" w:cs="Arial"/>
          <w:i/>
          <w:iCs/>
          <w:sz w:val="22"/>
          <w:szCs w:val="22"/>
        </w:rPr>
      </w:pPr>
      <w:r w:rsidRPr="001E3FC7">
        <w:rPr>
          <w:rFonts w:ascii="Arial" w:hAnsi="Arial" w:cs="Arial"/>
          <w:i/>
          <w:iCs/>
          <w:sz w:val="22"/>
          <w:szCs w:val="22"/>
        </w:rPr>
        <w:t>La jurisprudencia de la Corte Constitucional ha diferenciado entre el sujeto pasivo “de iure” del sujeto pasivo “de facto”. A los primeros corresponde formalmente pagar el impuesto, mientras los últimos son los que soportan económicamente el impuesto. Así, en Sentencia C - 412 de 1996, se señala:</w:t>
      </w:r>
    </w:p>
    <w:p w14:paraId="6875058B" w14:textId="6C628D92" w:rsidR="001E3FC7" w:rsidRDefault="001E3FC7" w:rsidP="007F4187">
      <w:pPr>
        <w:ind w:left="284" w:right="-567"/>
        <w:jc w:val="both"/>
        <w:rPr>
          <w:rFonts w:ascii="Arial" w:hAnsi="Arial" w:cs="Arial"/>
          <w:i/>
          <w:iCs/>
          <w:sz w:val="22"/>
          <w:szCs w:val="22"/>
        </w:rPr>
      </w:pPr>
    </w:p>
    <w:p w14:paraId="1BDDFF58" w14:textId="790AC7A2" w:rsidR="001E3FC7" w:rsidRDefault="001E3FC7" w:rsidP="007F4187">
      <w:pPr>
        <w:ind w:left="284" w:right="-567"/>
        <w:jc w:val="both"/>
        <w:rPr>
          <w:rFonts w:ascii="Arial" w:hAnsi="Arial" w:cs="Arial"/>
          <w:i/>
          <w:iCs/>
        </w:rPr>
      </w:pPr>
      <w:r w:rsidRPr="004F7F1B">
        <w:rPr>
          <w:rFonts w:ascii="Arial" w:hAnsi="Arial" w:cs="Arial"/>
          <w:i/>
          <w:iCs/>
        </w:rPr>
        <w:t>“(…) En los tributos directos, como el impuesto a la renta, en general ambos sujetos coinciden, pero en cambio, en los impuestos indirectos (…) el sujeto pasivo de iure no soporta económicamente la contribución, pues traslada su costo al consumidor final. (…)”</w:t>
      </w:r>
    </w:p>
    <w:p w14:paraId="2D998086" w14:textId="74E45318" w:rsidR="004F7F1B" w:rsidRDefault="004F7F1B" w:rsidP="007F4187">
      <w:pPr>
        <w:ind w:left="284" w:right="-567"/>
        <w:jc w:val="both"/>
        <w:rPr>
          <w:rFonts w:ascii="Arial" w:hAnsi="Arial" w:cs="Arial"/>
          <w:i/>
          <w:iCs/>
        </w:rPr>
      </w:pPr>
    </w:p>
    <w:p w14:paraId="7654A552" w14:textId="124EC4BE" w:rsidR="004F7F1B" w:rsidRDefault="004F7F1B" w:rsidP="007F4187">
      <w:pPr>
        <w:ind w:left="284" w:right="-567"/>
        <w:jc w:val="both"/>
        <w:rPr>
          <w:rFonts w:ascii="Arial" w:hAnsi="Arial" w:cs="Arial"/>
          <w:i/>
          <w:iCs/>
          <w:sz w:val="22"/>
          <w:szCs w:val="22"/>
        </w:rPr>
      </w:pPr>
      <w:r w:rsidRPr="004F7F1B">
        <w:rPr>
          <w:rFonts w:ascii="Arial" w:hAnsi="Arial" w:cs="Arial"/>
          <w:i/>
          <w:iCs/>
          <w:sz w:val="22"/>
          <w:szCs w:val="22"/>
        </w:rPr>
        <w:t xml:space="preserve">Ahora bien, interesa para este documento únicamente el sujeto pasivo de iure, es decir el obligado a pagar el tributo. Como se vio, estarán obligados a pagar las estampillas aquellas personas naturales o jurídicas que suscriban contratos o adiciones con las entidades del Distrito con el fin de prestar un servicio, construir una obra o transferir el dominio de un bien </w:t>
      </w:r>
      <w:r w:rsidRPr="004F7F1B">
        <w:rPr>
          <w:rFonts w:ascii="Arial" w:hAnsi="Arial" w:cs="Arial"/>
          <w:i/>
          <w:iCs/>
          <w:sz w:val="22"/>
          <w:szCs w:val="22"/>
        </w:rPr>
        <w:lastRenderedPageBreak/>
        <w:t>a título oneroso o que pacten cualquier otra actividad con ánimo de lucro. Salvo aquellas que se encuentren exceptuadas.</w:t>
      </w:r>
    </w:p>
    <w:p w14:paraId="72DE782C" w14:textId="5BB5374E" w:rsidR="004F7F1B" w:rsidRDefault="004F7F1B" w:rsidP="007F4187">
      <w:pPr>
        <w:ind w:left="284" w:right="-567"/>
        <w:jc w:val="both"/>
        <w:rPr>
          <w:rFonts w:ascii="Arial" w:hAnsi="Arial" w:cs="Arial"/>
          <w:i/>
          <w:iCs/>
          <w:sz w:val="22"/>
          <w:szCs w:val="22"/>
        </w:rPr>
      </w:pPr>
    </w:p>
    <w:p w14:paraId="521786F9" w14:textId="77DD1F44" w:rsidR="004F7F1B" w:rsidRDefault="004F7F1B" w:rsidP="007F4187">
      <w:pPr>
        <w:ind w:left="284" w:right="-567"/>
        <w:jc w:val="both"/>
        <w:rPr>
          <w:rFonts w:ascii="Arial" w:hAnsi="Arial" w:cs="Arial"/>
          <w:i/>
          <w:iCs/>
          <w:sz w:val="22"/>
          <w:szCs w:val="22"/>
        </w:rPr>
      </w:pPr>
      <w:r w:rsidRPr="004F7F1B">
        <w:rPr>
          <w:rFonts w:ascii="Arial" w:hAnsi="Arial" w:cs="Arial"/>
          <w:i/>
          <w:iCs/>
          <w:sz w:val="22"/>
          <w:szCs w:val="22"/>
        </w:rPr>
        <w:t>A continuación, se presentan de manera resumida los sujetos pasivos y las exenciones de cada estampilla:</w:t>
      </w:r>
    </w:p>
    <w:p w14:paraId="7905599A" w14:textId="5D4B6A58" w:rsidR="004F7F1B" w:rsidRDefault="004F7F1B" w:rsidP="007F4187">
      <w:pPr>
        <w:ind w:left="567" w:right="-567"/>
        <w:jc w:val="both"/>
        <w:rPr>
          <w:rFonts w:ascii="Arial" w:hAnsi="Arial" w:cs="Arial"/>
          <w:i/>
          <w:iCs/>
          <w:sz w:val="22"/>
          <w:szCs w:val="22"/>
        </w:rPr>
      </w:pPr>
    </w:p>
    <w:tbl>
      <w:tblPr>
        <w:tblStyle w:val="Tablaconcuadrcula"/>
        <w:tblW w:w="0" w:type="auto"/>
        <w:tblInd w:w="567" w:type="dxa"/>
        <w:tblLook w:val="04A0" w:firstRow="1" w:lastRow="0" w:firstColumn="1" w:lastColumn="0" w:noHBand="0" w:noVBand="1"/>
      </w:tblPr>
      <w:tblGrid>
        <w:gridCol w:w="1877"/>
        <w:gridCol w:w="2807"/>
        <w:gridCol w:w="2966"/>
      </w:tblGrid>
      <w:tr w:rsidR="009060DF" w14:paraId="1DC16D81" w14:textId="77777777" w:rsidTr="007631CF">
        <w:tc>
          <w:tcPr>
            <w:tcW w:w="1877" w:type="dxa"/>
          </w:tcPr>
          <w:p w14:paraId="02A17C7F" w14:textId="18FC8C19" w:rsidR="004F7F1B" w:rsidRPr="009060DF" w:rsidRDefault="004F7F1B" w:rsidP="007F4187">
            <w:pPr>
              <w:ind w:right="-567"/>
              <w:jc w:val="both"/>
              <w:rPr>
                <w:rFonts w:ascii="Arial" w:hAnsi="Arial" w:cs="Arial"/>
                <w:b/>
                <w:bCs/>
                <w:i/>
                <w:iCs/>
              </w:rPr>
            </w:pPr>
            <w:r w:rsidRPr="009060DF">
              <w:rPr>
                <w:rFonts w:ascii="Arial" w:hAnsi="Arial" w:cs="Arial"/>
                <w:b/>
                <w:bCs/>
                <w:i/>
                <w:iCs/>
              </w:rPr>
              <w:t>ESTAMPILLA</w:t>
            </w:r>
          </w:p>
        </w:tc>
        <w:tc>
          <w:tcPr>
            <w:tcW w:w="2807" w:type="dxa"/>
          </w:tcPr>
          <w:p w14:paraId="0831D255" w14:textId="4274E7D3" w:rsidR="004F7F1B" w:rsidRPr="009060DF" w:rsidRDefault="004F7F1B" w:rsidP="007F4187">
            <w:pPr>
              <w:ind w:right="-567"/>
              <w:jc w:val="both"/>
              <w:rPr>
                <w:rFonts w:ascii="Arial" w:hAnsi="Arial" w:cs="Arial"/>
                <w:b/>
                <w:bCs/>
                <w:i/>
                <w:iCs/>
              </w:rPr>
            </w:pPr>
            <w:r w:rsidRPr="009060DF">
              <w:rPr>
                <w:rFonts w:ascii="Arial" w:hAnsi="Arial" w:cs="Arial"/>
                <w:b/>
                <w:bCs/>
                <w:i/>
                <w:iCs/>
              </w:rPr>
              <w:t>SUJETO PASIVO</w:t>
            </w:r>
          </w:p>
        </w:tc>
        <w:tc>
          <w:tcPr>
            <w:tcW w:w="2966" w:type="dxa"/>
          </w:tcPr>
          <w:p w14:paraId="7A5EB136" w14:textId="0484F93B" w:rsidR="004F7F1B" w:rsidRPr="009060DF" w:rsidRDefault="004F7F1B" w:rsidP="007F4187">
            <w:pPr>
              <w:ind w:right="-567"/>
              <w:jc w:val="both"/>
              <w:rPr>
                <w:rFonts w:ascii="Arial" w:hAnsi="Arial" w:cs="Arial"/>
                <w:b/>
                <w:bCs/>
                <w:i/>
                <w:iCs/>
              </w:rPr>
            </w:pPr>
            <w:r w:rsidRPr="009060DF">
              <w:rPr>
                <w:rFonts w:ascii="Arial" w:hAnsi="Arial" w:cs="Arial"/>
                <w:b/>
                <w:bCs/>
                <w:i/>
                <w:iCs/>
              </w:rPr>
              <w:t>EXCLUSIONES</w:t>
            </w:r>
          </w:p>
        </w:tc>
      </w:tr>
      <w:tr w:rsidR="009060DF" w14:paraId="20254A28" w14:textId="77777777" w:rsidTr="007631CF">
        <w:tc>
          <w:tcPr>
            <w:tcW w:w="1877" w:type="dxa"/>
          </w:tcPr>
          <w:p w14:paraId="2092B306" w14:textId="2227AB62" w:rsidR="004F7F1B" w:rsidRPr="00F73052" w:rsidRDefault="004F7F1B" w:rsidP="007F4187">
            <w:pPr>
              <w:ind w:right="-567"/>
              <w:jc w:val="both"/>
              <w:rPr>
                <w:rFonts w:ascii="Arial" w:hAnsi="Arial" w:cs="Arial"/>
                <w:b/>
                <w:bCs/>
                <w:i/>
                <w:iCs/>
              </w:rPr>
            </w:pPr>
            <w:r w:rsidRPr="00F73052">
              <w:rPr>
                <w:rFonts w:ascii="Arial" w:hAnsi="Arial" w:cs="Arial"/>
                <w:b/>
                <w:bCs/>
                <w:i/>
                <w:iCs/>
              </w:rPr>
              <w:t>PRO-CULTURA</w:t>
            </w:r>
          </w:p>
        </w:tc>
        <w:tc>
          <w:tcPr>
            <w:tcW w:w="2807" w:type="dxa"/>
          </w:tcPr>
          <w:p w14:paraId="36EAB9C2" w14:textId="59AFEED8" w:rsidR="004F7F1B" w:rsidRPr="009060DF" w:rsidRDefault="009060DF" w:rsidP="007F4187">
            <w:pPr>
              <w:ind w:right="-567"/>
              <w:jc w:val="both"/>
              <w:rPr>
                <w:rFonts w:ascii="Arial" w:hAnsi="Arial" w:cs="Arial"/>
                <w:i/>
                <w:iCs/>
              </w:rPr>
            </w:pPr>
            <w:r w:rsidRPr="009060DF">
              <w:rPr>
                <w:rFonts w:ascii="Arial" w:hAnsi="Arial" w:cs="Arial"/>
                <w:i/>
                <w:iCs/>
              </w:rPr>
              <w:t>Personas naturales y jurídicas que suscriban contratos y/o adiciones con las entidades que conforman el Presupuesto Anual del Distrito Capital con el fin de prestar un servicio, construir una obra, transferir el derecho de dominio de un bien a título oneroso o cualquier otra actividad con ánimo de lucro. (Artículo 4° del Acuerdo Distrital 187 de 2005)</w:t>
            </w:r>
          </w:p>
        </w:tc>
        <w:tc>
          <w:tcPr>
            <w:tcW w:w="2966" w:type="dxa"/>
          </w:tcPr>
          <w:p w14:paraId="65E51360" w14:textId="5875B6B7" w:rsidR="004F7F1B" w:rsidRPr="009060DF" w:rsidRDefault="009060DF" w:rsidP="007F4187">
            <w:pPr>
              <w:ind w:right="-567"/>
              <w:jc w:val="both"/>
              <w:rPr>
                <w:rFonts w:ascii="Arial" w:hAnsi="Arial" w:cs="Arial"/>
                <w:i/>
                <w:iCs/>
              </w:rPr>
            </w:pPr>
            <w:r w:rsidRPr="009060DF">
              <w:rPr>
                <w:rFonts w:ascii="Arial" w:hAnsi="Arial" w:cs="Arial"/>
                <w:i/>
                <w:iCs/>
              </w:rPr>
              <w:t xml:space="preserve">Los </w:t>
            </w:r>
            <w:r w:rsidRPr="004F65C5">
              <w:rPr>
                <w:rFonts w:ascii="Arial" w:hAnsi="Arial" w:cs="Arial"/>
                <w:b/>
                <w:bCs/>
                <w:i/>
                <w:iCs/>
              </w:rPr>
              <w:t>convenios interadministrativos y los contratos que las entidades que conforman el Presupuesto Anual del Distrito Capital suscriban con las entidades de derecho público</w:t>
            </w:r>
            <w:r w:rsidRPr="009060DF">
              <w:rPr>
                <w:rFonts w:ascii="Arial" w:hAnsi="Arial" w:cs="Arial"/>
                <w:i/>
                <w:iCs/>
              </w:rPr>
              <w:t>, juntas de acción comunal, ligas deportivas municipales y locales con personería jurídica reconocida por la entidad competente, préstamos del Fondo de Vivienda Distrital, los contratos de empréstitos y las operaciones de crédito público, las operaciones del manejo y conexas con las anteriores. (artículo 7 del Acuerdo 187 de 2005)</w:t>
            </w:r>
          </w:p>
        </w:tc>
      </w:tr>
      <w:tr w:rsidR="009060DF" w14:paraId="12B4AC66" w14:textId="77777777" w:rsidTr="007631CF">
        <w:tc>
          <w:tcPr>
            <w:tcW w:w="1877" w:type="dxa"/>
          </w:tcPr>
          <w:p w14:paraId="519A92CF" w14:textId="5D9E0606" w:rsidR="004F7F1B" w:rsidRPr="00F73052" w:rsidRDefault="009060DF" w:rsidP="007F4187">
            <w:pPr>
              <w:ind w:right="-567"/>
              <w:jc w:val="both"/>
              <w:rPr>
                <w:rFonts w:ascii="Arial" w:hAnsi="Arial" w:cs="Arial"/>
                <w:b/>
                <w:bCs/>
                <w:i/>
                <w:iCs/>
              </w:rPr>
            </w:pPr>
            <w:r w:rsidRPr="00F73052">
              <w:rPr>
                <w:rFonts w:ascii="Arial" w:hAnsi="Arial" w:cs="Arial"/>
                <w:b/>
                <w:bCs/>
                <w:i/>
                <w:iCs/>
              </w:rPr>
              <w:t>PARA EL BIENESTAR DE ADULTO MAYOR</w:t>
            </w:r>
          </w:p>
        </w:tc>
        <w:tc>
          <w:tcPr>
            <w:tcW w:w="2807" w:type="dxa"/>
          </w:tcPr>
          <w:p w14:paraId="31FEE478" w14:textId="57CD5D59" w:rsidR="004F7F1B" w:rsidRPr="009060DF" w:rsidRDefault="009060DF" w:rsidP="007F4187">
            <w:pPr>
              <w:ind w:right="-567"/>
              <w:jc w:val="both"/>
              <w:rPr>
                <w:rFonts w:ascii="Arial" w:hAnsi="Arial" w:cs="Arial"/>
                <w:i/>
                <w:iCs/>
              </w:rPr>
            </w:pPr>
            <w:r w:rsidRPr="009060DF">
              <w:rPr>
                <w:rFonts w:ascii="Arial" w:hAnsi="Arial" w:cs="Arial"/>
                <w:i/>
                <w:iCs/>
              </w:rPr>
              <w:t>Personas naturales y jurídicas que suscriban contratos y/o adiciones con las entidades que conforman el Presupuesto Anual del Distrito Capital con el fin de</w:t>
            </w:r>
            <w:r w:rsidR="00F73052">
              <w:rPr>
                <w:rFonts w:ascii="Arial" w:hAnsi="Arial" w:cs="Arial"/>
                <w:i/>
                <w:iCs/>
              </w:rPr>
              <w:t xml:space="preserve"> </w:t>
            </w:r>
            <w:r w:rsidR="00F73052" w:rsidRPr="00F73052">
              <w:rPr>
                <w:rFonts w:ascii="Arial" w:hAnsi="Arial" w:cs="Arial"/>
                <w:i/>
                <w:iCs/>
              </w:rPr>
              <w:t>prestar un servicio, construir una obra, transferir el derecho de dominio de un bien a título oneroso o cualquier otra actividad con ánimo de lucro. (Artículo 3 del Acuerdo Distrital 188 de 2005)</w:t>
            </w:r>
          </w:p>
        </w:tc>
        <w:tc>
          <w:tcPr>
            <w:tcW w:w="2966" w:type="dxa"/>
          </w:tcPr>
          <w:p w14:paraId="1A8F9E32" w14:textId="5C56875F" w:rsidR="004F7F1B" w:rsidRPr="00F73052" w:rsidRDefault="00F73052" w:rsidP="007F4187">
            <w:pPr>
              <w:ind w:right="-567"/>
              <w:jc w:val="both"/>
              <w:rPr>
                <w:rFonts w:ascii="Arial" w:hAnsi="Arial" w:cs="Arial"/>
                <w:i/>
                <w:iCs/>
              </w:rPr>
            </w:pPr>
            <w:r w:rsidRPr="004F65C5">
              <w:rPr>
                <w:rFonts w:ascii="Arial" w:hAnsi="Arial" w:cs="Arial"/>
                <w:b/>
                <w:bCs/>
                <w:i/>
                <w:iCs/>
              </w:rPr>
              <w:t>Los convenios interadministrativos y los contratos que las entidades que conforman el Presupuesto Anual del Distrito Capital suscriban con las entidades de derecho público</w:t>
            </w:r>
            <w:r w:rsidRPr="00F73052">
              <w:rPr>
                <w:rFonts w:ascii="Arial" w:hAnsi="Arial" w:cs="Arial"/>
                <w:i/>
                <w:iCs/>
              </w:rPr>
              <w:t>, juntas</w:t>
            </w:r>
            <w:r>
              <w:rPr>
                <w:rFonts w:ascii="Arial" w:hAnsi="Arial" w:cs="Arial"/>
                <w:i/>
                <w:iCs/>
              </w:rPr>
              <w:t xml:space="preserve"> </w:t>
            </w:r>
            <w:r w:rsidRPr="00F73052">
              <w:rPr>
                <w:rFonts w:ascii="Arial" w:hAnsi="Arial" w:cs="Arial"/>
                <w:i/>
                <w:iCs/>
              </w:rPr>
              <w:t>de acción comunal, ligas deportivas distritales y locales con personería jurídica reconocida por la entidad competente, los contratos de empréstitos y las operaciones de crédito público, las operaciones de manejo y las conexas con las anteriores. (Artículo 6 del Acuerdo Distrital 669 de 2017)</w:t>
            </w:r>
          </w:p>
        </w:tc>
      </w:tr>
      <w:tr w:rsidR="009060DF" w14:paraId="615020CD" w14:textId="77777777" w:rsidTr="007631CF">
        <w:tc>
          <w:tcPr>
            <w:tcW w:w="1877" w:type="dxa"/>
          </w:tcPr>
          <w:p w14:paraId="38467C6D" w14:textId="1CB30910" w:rsidR="004F7F1B" w:rsidRPr="00F73052" w:rsidRDefault="009060DF" w:rsidP="007F4187">
            <w:pPr>
              <w:ind w:right="-567"/>
              <w:jc w:val="both"/>
              <w:rPr>
                <w:rFonts w:ascii="Arial" w:hAnsi="Arial" w:cs="Arial"/>
                <w:b/>
                <w:bCs/>
                <w:i/>
                <w:iCs/>
              </w:rPr>
            </w:pPr>
            <w:r w:rsidRPr="00F73052">
              <w:rPr>
                <w:rFonts w:ascii="Arial" w:hAnsi="Arial" w:cs="Arial"/>
                <w:b/>
                <w:bCs/>
                <w:i/>
                <w:iCs/>
              </w:rPr>
              <w:t>UNIVERSIDAD PEDAGOGICA</w:t>
            </w:r>
          </w:p>
        </w:tc>
        <w:tc>
          <w:tcPr>
            <w:tcW w:w="2807" w:type="dxa"/>
          </w:tcPr>
          <w:p w14:paraId="0320445B" w14:textId="1A35B504" w:rsidR="004F7F1B" w:rsidRPr="00F73052" w:rsidRDefault="00F73052" w:rsidP="007F4187">
            <w:pPr>
              <w:ind w:right="-567"/>
              <w:jc w:val="both"/>
              <w:rPr>
                <w:rFonts w:ascii="Arial" w:hAnsi="Arial" w:cs="Arial"/>
                <w:i/>
                <w:iCs/>
              </w:rPr>
            </w:pPr>
            <w:r w:rsidRPr="00F73052">
              <w:rPr>
                <w:rFonts w:ascii="Arial" w:hAnsi="Arial" w:cs="Arial"/>
                <w:i/>
                <w:iCs/>
              </w:rPr>
              <w:t>Personas naturales o jurídicas (públicas o privadas) que suscriba y/o adicionen contratos de: estudios de factibilidad, diseños, consultorías, contratos e interventorías de obra pública que se realicen en la jurisdicción del Distrito Capital de Bogotá. (artículo 2° Acuerdo Distrital 568 de 2014).</w:t>
            </w:r>
          </w:p>
        </w:tc>
        <w:tc>
          <w:tcPr>
            <w:tcW w:w="2966" w:type="dxa"/>
          </w:tcPr>
          <w:p w14:paraId="07EB19F9" w14:textId="507A44CD" w:rsidR="004F7F1B" w:rsidRPr="00F73052" w:rsidRDefault="00F73052" w:rsidP="007F4187">
            <w:pPr>
              <w:ind w:right="-567"/>
              <w:jc w:val="both"/>
              <w:rPr>
                <w:rFonts w:ascii="Arial" w:hAnsi="Arial" w:cs="Arial"/>
                <w:i/>
                <w:iCs/>
              </w:rPr>
            </w:pPr>
            <w:r w:rsidRPr="00F73052">
              <w:rPr>
                <w:rFonts w:ascii="Arial" w:hAnsi="Arial" w:cs="Arial"/>
                <w:i/>
                <w:iCs/>
              </w:rPr>
              <w:t>N</w:t>
            </w:r>
            <w:r w:rsidR="00D16D1D">
              <w:rPr>
                <w:rFonts w:ascii="Arial" w:hAnsi="Arial" w:cs="Arial"/>
                <w:i/>
                <w:iCs/>
              </w:rPr>
              <w:t>/A</w:t>
            </w:r>
            <w:r w:rsidR="00E441AD">
              <w:rPr>
                <w:rFonts w:ascii="Arial" w:hAnsi="Arial" w:cs="Arial"/>
                <w:i/>
                <w:iCs/>
              </w:rPr>
              <w:t xml:space="preserve"> </w:t>
            </w:r>
          </w:p>
        </w:tc>
      </w:tr>
      <w:tr w:rsidR="009060DF" w14:paraId="7CD96513" w14:textId="77777777" w:rsidTr="007631CF">
        <w:tc>
          <w:tcPr>
            <w:tcW w:w="1877" w:type="dxa"/>
          </w:tcPr>
          <w:p w14:paraId="5A0743E9" w14:textId="463E1B5C" w:rsidR="004F7F1B" w:rsidRPr="00F73052" w:rsidRDefault="009060DF" w:rsidP="007F4187">
            <w:pPr>
              <w:ind w:right="-567"/>
              <w:jc w:val="both"/>
              <w:rPr>
                <w:rFonts w:ascii="Arial" w:hAnsi="Arial" w:cs="Arial"/>
                <w:b/>
                <w:bCs/>
                <w:i/>
                <w:iCs/>
              </w:rPr>
            </w:pPr>
            <w:r w:rsidRPr="00F73052">
              <w:rPr>
                <w:rFonts w:ascii="Arial" w:hAnsi="Arial" w:cs="Arial"/>
                <w:b/>
                <w:bCs/>
                <w:i/>
                <w:iCs/>
              </w:rPr>
              <w:t>UNIVERSIDAD DISTRITAL</w:t>
            </w:r>
          </w:p>
        </w:tc>
        <w:tc>
          <w:tcPr>
            <w:tcW w:w="2807" w:type="dxa"/>
          </w:tcPr>
          <w:p w14:paraId="63C51E54" w14:textId="606FACE4" w:rsidR="004F7F1B" w:rsidRPr="00E441AD" w:rsidRDefault="00E441AD" w:rsidP="007F4187">
            <w:pPr>
              <w:ind w:right="-567"/>
              <w:jc w:val="both"/>
              <w:rPr>
                <w:rFonts w:ascii="Arial" w:hAnsi="Arial" w:cs="Arial"/>
                <w:i/>
                <w:iCs/>
              </w:rPr>
            </w:pPr>
            <w:r w:rsidRPr="00E441AD">
              <w:rPr>
                <w:rFonts w:ascii="Arial" w:hAnsi="Arial" w:cs="Arial"/>
                <w:i/>
                <w:iCs/>
              </w:rPr>
              <w:t xml:space="preserve">Personas naturales o jurídicas (públicas o privadas) que suscriban contratos y/o adiciones con los organismos y entidades de la </w:t>
            </w:r>
            <w:r w:rsidRPr="00E441AD">
              <w:rPr>
                <w:rFonts w:ascii="Arial" w:hAnsi="Arial" w:cs="Arial"/>
                <w:i/>
                <w:iCs/>
              </w:rPr>
              <w:lastRenderedPageBreak/>
              <w:t>administración central, establecimientos públicos del Distrito Capital de Bogotá y con la Universidad Distrital, con el fin de prestar un servicio, construir una obra, transferir el derecho de dominio de un bien a título oneroso o cualquier otra actividad con ánimo de lucro (Artículo 2° del Acuerdo Distrital 696 de 2017)</w:t>
            </w:r>
          </w:p>
        </w:tc>
        <w:tc>
          <w:tcPr>
            <w:tcW w:w="2966" w:type="dxa"/>
          </w:tcPr>
          <w:p w14:paraId="1C2970CF" w14:textId="39A1AAFA" w:rsidR="004F7F1B" w:rsidRPr="00E441AD" w:rsidRDefault="00E441AD" w:rsidP="007F4187">
            <w:pPr>
              <w:ind w:right="-567"/>
              <w:jc w:val="both"/>
              <w:rPr>
                <w:rFonts w:ascii="Arial" w:hAnsi="Arial" w:cs="Arial"/>
                <w:i/>
                <w:iCs/>
              </w:rPr>
            </w:pPr>
            <w:r w:rsidRPr="00E441AD">
              <w:rPr>
                <w:rFonts w:ascii="Arial" w:hAnsi="Arial" w:cs="Arial"/>
                <w:i/>
                <w:iCs/>
              </w:rPr>
              <w:lastRenderedPageBreak/>
              <w:t xml:space="preserve">Las operaciones de crédito público, las operaciones asimiladas a operaciones de crédito público, las operaciones de manejo de deuda </w:t>
            </w:r>
            <w:r w:rsidRPr="00E441AD">
              <w:rPr>
                <w:rFonts w:ascii="Arial" w:hAnsi="Arial" w:cs="Arial"/>
                <w:i/>
                <w:iCs/>
              </w:rPr>
              <w:lastRenderedPageBreak/>
              <w:t>pública y las conexas con las anteriores, que realicen las entidades públicas distritales están excluidas del pago de la estampilla. Igualmente se excluyen de dicho pago los contratos de prestación de servicios suscritos con personas naturales, cuyo valor no supere las 315 Unidades de Valor Tributario – UVT por concepto de honorarios mensuales. (artículo 1 del Decreto Distrital 250 de 2018)</w:t>
            </w:r>
          </w:p>
        </w:tc>
      </w:tr>
    </w:tbl>
    <w:p w14:paraId="313BA67C" w14:textId="77777777" w:rsidR="004F7F1B" w:rsidRPr="004F7F1B" w:rsidRDefault="004F7F1B" w:rsidP="007F4187">
      <w:pPr>
        <w:ind w:left="567" w:right="-567"/>
        <w:jc w:val="both"/>
        <w:rPr>
          <w:rFonts w:ascii="Arial" w:hAnsi="Arial" w:cs="Arial"/>
          <w:i/>
          <w:iCs/>
          <w:sz w:val="22"/>
          <w:szCs w:val="22"/>
        </w:rPr>
      </w:pPr>
    </w:p>
    <w:p w14:paraId="4D4BC1A2" w14:textId="0A8960CE" w:rsidR="001E3FC7" w:rsidRDefault="001E3FC7" w:rsidP="007F4187">
      <w:pPr>
        <w:ind w:right="-567"/>
        <w:jc w:val="both"/>
        <w:rPr>
          <w:rFonts w:ascii="Arial" w:hAnsi="Arial" w:cs="Arial"/>
          <w:sz w:val="22"/>
          <w:szCs w:val="22"/>
        </w:rPr>
      </w:pPr>
    </w:p>
    <w:p w14:paraId="53536C64" w14:textId="3E38E132" w:rsidR="007631CF" w:rsidRPr="007631CF" w:rsidRDefault="007631CF" w:rsidP="007F4187">
      <w:pPr>
        <w:ind w:left="284" w:right="-567"/>
        <w:jc w:val="both"/>
        <w:rPr>
          <w:rFonts w:ascii="Arial" w:hAnsi="Arial" w:cs="Arial"/>
          <w:i/>
          <w:iCs/>
          <w:sz w:val="22"/>
          <w:szCs w:val="22"/>
        </w:rPr>
      </w:pPr>
      <w:r w:rsidRPr="007631CF">
        <w:rPr>
          <w:rFonts w:ascii="Arial" w:hAnsi="Arial" w:cs="Arial"/>
          <w:i/>
          <w:iCs/>
          <w:sz w:val="22"/>
          <w:szCs w:val="22"/>
        </w:rPr>
        <w:t>Dado que las exclusiones establecidas en las normas que regulan la estampilla el beneficio del adulto mayor y Pro - Cultura incluyen la mención de las entidades de derecho público, resulta necesario precisar este concepto con el fin de clarificar en que punto operan ese tipo de exclusiones.</w:t>
      </w:r>
    </w:p>
    <w:p w14:paraId="2A916D1D" w14:textId="322840D4" w:rsidR="001E3FC7" w:rsidRPr="007631CF" w:rsidRDefault="001E3FC7" w:rsidP="007F4187">
      <w:pPr>
        <w:ind w:left="284" w:right="-567"/>
        <w:jc w:val="both"/>
        <w:rPr>
          <w:rFonts w:ascii="Arial" w:hAnsi="Arial" w:cs="Arial"/>
          <w:i/>
          <w:iCs/>
          <w:sz w:val="22"/>
          <w:szCs w:val="22"/>
        </w:rPr>
      </w:pPr>
      <w:r w:rsidRPr="007631CF">
        <w:rPr>
          <w:rFonts w:ascii="Arial" w:hAnsi="Arial" w:cs="Arial"/>
          <w:i/>
          <w:iCs/>
          <w:sz w:val="22"/>
          <w:szCs w:val="22"/>
        </w:rPr>
        <w:t xml:space="preserve"> </w:t>
      </w:r>
    </w:p>
    <w:p w14:paraId="3138EE21" w14:textId="578A5137" w:rsidR="001E3FC7" w:rsidRPr="007631CF" w:rsidRDefault="007631CF" w:rsidP="007F4187">
      <w:pPr>
        <w:ind w:left="284" w:right="-567"/>
        <w:jc w:val="both"/>
        <w:rPr>
          <w:rFonts w:ascii="Arial" w:hAnsi="Arial" w:cs="Arial"/>
          <w:i/>
          <w:iCs/>
          <w:sz w:val="22"/>
          <w:szCs w:val="22"/>
        </w:rPr>
      </w:pPr>
      <w:r w:rsidRPr="007631CF">
        <w:rPr>
          <w:rFonts w:ascii="Arial" w:hAnsi="Arial" w:cs="Arial"/>
          <w:i/>
          <w:iCs/>
          <w:sz w:val="22"/>
          <w:szCs w:val="22"/>
        </w:rPr>
        <w:t xml:space="preserve">Conviene entonces, traer a colación la definición </w:t>
      </w:r>
      <w:r w:rsidR="005B5E18">
        <w:rPr>
          <w:rFonts w:ascii="Arial" w:hAnsi="Arial" w:cs="Arial"/>
          <w:i/>
          <w:iCs/>
          <w:sz w:val="22"/>
          <w:szCs w:val="22"/>
        </w:rPr>
        <w:t>d</w:t>
      </w:r>
      <w:r w:rsidRPr="007631CF">
        <w:rPr>
          <w:rFonts w:ascii="Arial" w:hAnsi="Arial" w:cs="Arial"/>
          <w:i/>
          <w:iCs/>
          <w:sz w:val="22"/>
          <w:szCs w:val="22"/>
        </w:rPr>
        <w:t>el Código Contencioso Administrativo de entidad pública, con el fin de hacerla extensiva en este escenario. El artículo 104 de la Ley 1437 de 2011</w:t>
      </w:r>
      <w:r w:rsidR="008F1994">
        <w:rPr>
          <w:rFonts w:ascii="Arial" w:hAnsi="Arial" w:cs="Arial"/>
          <w:i/>
          <w:iCs/>
          <w:sz w:val="22"/>
          <w:szCs w:val="22"/>
        </w:rPr>
        <w:t xml:space="preserve"> </w:t>
      </w:r>
      <w:r w:rsidRPr="007631CF">
        <w:rPr>
          <w:rFonts w:ascii="Arial" w:hAnsi="Arial" w:cs="Arial"/>
          <w:i/>
          <w:iCs/>
          <w:sz w:val="22"/>
          <w:szCs w:val="22"/>
        </w:rPr>
        <w:t>señala: “(…) se entiende por entidad pública todo órgano, organismo o entidad estatal, con independencia de su denominación; las sociedades o empresas en las que el Estado tenga una participación igual o superior al 50% de su capital; y los entes con aportes o participación estatal igual o superior al 50%”.</w:t>
      </w:r>
    </w:p>
    <w:p w14:paraId="2AE28413" w14:textId="4EF185D9" w:rsidR="007631CF" w:rsidRPr="007631CF" w:rsidRDefault="007631CF" w:rsidP="007F4187">
      <w:pPr>
        <w:ind w:left="284" w:right="-567"/>
        <w:jc w:val="both"/>
        <w:rPr>
          <w:rFonts w:ascii="Arial" w:hAnsi="Arial" w:cs="Arial"/>
          <w:i/>
          <w:iCs/>
          <w:sz w:val="22"/>
          <w:szCs w:val="22"/>
        </w:rPr>
      </w:pPr>
    </w:p>
    <w:p w14:paraId="22A8B179" w14:textId="0AED9F4D" w:rsidR="007631CF" w:rsidRPr="007631CF" w:rsidRDefault="007631CF" w:rsidP="007F4187">
      <w:pPr>
        <w:ind w:left="284" w:right="-567"/>
        <w:jc w:val="both"/>
        <w:rPr>
          <w:rFonts w:ascii="Arial" w:hAnsi="Arial" w:cs="Arial"/>
          <w:i/>
          <w:iCs/>
          <w:sz w:val="22"/>
          <w:szCs w:val="22"/>
        </w:rPr>
      </w:pPr>
      <w:r w:rsidRPr="007631CF">
        <w:rPr>
          <w:rFonts w:ascii="Arial" w:hAnsi="Arial" w:cs="Arial"/>
          <w:i/>
          <w:iCs/>
          <w:sz w:val="22"/>
          <w:szCs w:val="22"/>
        </w:rPr>
        <w:t>Cualquier entidad que encaje dentro de esta descripción se encontrará excluidas del pago de las estampillas Procultura y para el beneficio del adulto mayor cuando suscriba contratos o adiciones con las entidades distritales, salvo que una norma tributaria especial establezca que determinada entidad no puede ser considerada entidad pública para efectos tributarios, o simplemente señale que no será considerada entidad pública para efectos del cobro de las mencionadas estampillas.”</w:t>
      </w:r>
    </w:p>
    <w:p w14:paraId="41DB2D43" w14:textId="77777777" w:rsidR="00D31189" w:rsidRDefault="00D31189" w:rsidP="007F4187">
      <w:pPr>
        <w:ind w:right="-567"/>
        <w:jc w:val="both"/>
        <w:rPr>
          <w:rFonts w:ascii="Arial" w:hAnsi="Arial" w:cs="Arial"/>
          <w:sz w:val="24"/>
          <w:szCs w:val="24"/>
        </w:rPr>
      </w:pPr>
    </w:p>
    <w:p w14:paraId="11082509" w14:textId="6D9F9E3A" w:rsidR="00FB6554" w:rsidRDefault="00FB6554" w:rsidP="007F4187">
      <w:pPr>
        <w:ind w:right="-567"/>
        <w:jc w:val="both"/>
        <w:rPr>
          <w:rFonts w:ascii="Arial" w:hAnsi="Arial" w:cs="Arial"/>
          <w:sz w:val="24"/>
          <w:szCs w:val="24"/>
        </w:rPr>
      </w:pPr>
      <w:r>
        <w:rPr>
          <w:rFonts w:ascii="Arial" w:hAnsi="Arial" w:cs="Arial"/>
          <w:sz w:val="24"/>
          <w:szCs w:val="24"/>
        </w:rPr>
        <w:t>Conforme a lo descrito</w:t>
      </w:r>
      <w:r w:rsidR="00EC46A1">
        <w:rPr>
          <w:rFonts w:ascii="Arial" w:hAnsi="Arial" w:cs="Arial"/>
          <w:sz w:val="24"/>
          <w:szCs w:val="24"/>
        </w:rPr>
        <w:t>,</w:t>
      </w:r>
      <w:r w:rsidR="001C4C99">
        <w:rPr>
          <w:rFonts w:ascii="Arial" w:hAnsi="Arial" w:cs="Arial"/>
          <w:sz w:val="24"/>
          <w:szCs w:val="24"/>
        </w:rPr>
        <w:t xml:space="preserve"> en el Distrito Capital existe</w:t>
      </w:r>
      <w:r w:rsidR="008F1994">
        <w:rPr>
          <w:rFonts w:ascii="Arial" w:hAnsi="Arial" w:cs="Arial"/>
          <w:sz w:val="24"/>
          <w:szCs w:val="24"/>
        </w:rPr>
        <w:t xml:space="preserve">n </w:t>
      </w:r>
      <w:r w:rsidR="00230920">
        <w:rPr>
          <w:rFonts w:ascii="Arial" w:hAnsi="Arial" w:cs="Arial"/>
          <w:sz w:val="24"/>
          <w:szCs w:val="24"/>
        </w:rPr>
        <w:t xml:space="preserve">cuatro </w:t>
      </w:r>
      <w:r w:rsidR="00332CA6">
        <w:rPr>
          <w:rFonts w:ascii="Arial" w:hAnsi="Arial" w:cs="Arial"/>
          <w:sz w:val="24"/>
          <w:szCs w:val="24"/>
        </w:rPr>
        <w:t>estampillas</w:t>
      </w:r>
      <w:r w:rsidR="008F1994">
        <w:rPr>
          <w:rFonts w:ascii="Arial" w:hAnsi="Arial" w:cs="Arial"/>
          <w:sz w:val="24"/>
          <w:szCs w:val="24"/>
        </w:rPr>
        <w:t>,</w:t>
      </w:r>
      <w:r w:rsidR="001C4C99">
        <w:rPr>
          <w:rFonts w:ascii="Arial" w:hAnsi="Arial" w:cs="Arial"/>
          <w:sz w:val="24"/>
          <w:szCs w:val="24"/>
        </w:rPr>
        <w:t xml:space="preserve"> a saber</w:t>
      </w:r>
      <w:r w:rsidR="00A84900">
        <w:rPr>
          <w:rFonts w:ascii="Arial" w:hAnsi="Arial" w:cs="Arial"/>
          <w:sz w:val="24"/>
          <w:szCs w:val="24"/>
        </w:rPr>
        <w:t>:</w:t>
      </w:r>
      <w:r w:rsidR="001C4C99">
        <w:rPr>
          <w:rFonts w:ascii="Arial" w:hAnsi="Arial" w:cs="Arial"/>
          <w:sz w:val="24"/>
          <w:szCs w:val="24"/>
        </w:rPr>
        <w:t xml:space="preserve"> </w:t>
      </w:r>
    </w:p>
    <w:p w14:paraId="0415164E" w14:textId="77777777" w:rsidR="00FB6554" w:rsidRDefault="00FB6554" w:rsidP="007F4187">
      <w:pPr>
        <w:ind w:right="-567"/>
        <w:jc w:val="both"/>
        <w:rPr>
          <w:rFonts w:ascii="Arial" w:hAnsi="Arial" w:cs="Arial"/>
          <w:sz w:val="24"/>
          <w:szCs w:val="24"/>
        </w:rPr>
      </w:pPr>
    </w:p>
    <w:p w14:paraId="2F4F0B77" w14:textId="77777777" w:rsidR="00FB6554" w:rsidRPr="00FB6554" w:rsidRDefault="001C4C99" w:rsidP="007F4187">
      <w:pPr>
        <w:pStyle w:val="Prrafodelista"/>
        <w:numPr>
          <w:ilvl w:val="0"/>
          <w:numId w:val="8"/>
        </w:numPr>
        <w:ind w:right="-567"/>
        <w:jc w:val="both"/>
        <w:rPr>
          <w:rFonts w:ascii="Arial" w:hAnsi="Arial" w:cs="Arial"/>
          <w:sz w:val="24"/>
          <w:szCs w:val="24"/>
        </w:rPr>
      </w:pPr>
      <w:r w:rsidRPr="00FB6554">
        <w:rPr>
          <w:rFonts w:ascii="Arial" w:hAnsi="Arial" w:cs="Arial"/>
          <w:sz w:val="24"/>
          <w:szCs w:val="24"/>
          <w:lang w:val="es-ES"/>
        </w:rPr>
        <w:t xml:space="preserve">Pro – Cultura, </w:t>
      </w:r>
      <w:r w:rsidR="00A84900" w:rsidRPr="00FB6554">
        <w:rPr>
          <w:rFonts w:ascii="Arial" w:hAnsi="Arial" w:cs="Arial"/>
          <w:sz w:val="24"/>
          <w:szCs w:val="24"/>
          <w:lang w:val="es-ES"/>
        </w:rPr>
        <w:t xml:space="preserve">regulada por el Acuerdo Distrital 187 de 2005; </w:t>
      </w:r>
    </w:p>
    <w:p w14:paraId="33E44210" w14:textId="77777777" w:rsidR="00FB6554" w:rsidRPr="00FB6554" w:rsidRDefault="001C4C99" w:rsidP="007F4187">
      <w:pPr>
        <w:pStyle w:val="Prrafodelista"/>
        <w:numPr>
          <w:ilvl w:val="0"/>
          <w:numId w:val="8"/>
        </w:numPr>
        <w:ind w:right="-567"/>
        <w:jc w:val="both"/>
        <w:rPr>
          <w:rFonts w:ascii="Arial" w:hAnsi="Arial" w:cs="Arial"/>
          <w:sz w:val="24"/>
          <w:szCs w:val="24"/>
        </w:rPr>
      </w:pPr>
      <w:r w:rsidRPr="00FB6554">
        <w:rPr>
          <w:rFonts w:ascii="Arial" w:hAnsi="Arial" w:cs="Arial"/>
          <w:sz w:val="24"/>
          <w:szCs w:val="24"/>
          <w:lang w:val="es-ES"/>
        </w:rPr>
        <w:t xml:space="preserve">Bienestar del Adulto Mayor, </w:t>
      </w:r>
      <w:r w:rsidR="00A84900" w:rsidRPr="00FB6554">
        <w:rPr>
          <w:rFonts w:ascii="Arial" w:hAnsi="Arial" w:cs="Arial"/>
          <w:sz w:val="24"/>
          <w:szCs w:val="24"/>
          <w:lang w:val="es-ES"/>
        </w:rPr>
        <w:t>regulada por el Acuerdo 669 de 2017;</w:t>
      </w:r>
    </w:p>
    <w:p w14:paraId="645BEB25" w14:textId="77777777" w:rsidR="00FB6554" w:rsidRPr="00FB6554" w:rsidRDefault="001C4C99" w:rsidP="007F4187">
      <w:pPr>
        <w:pStyle w:val="Prrafodelista"/>
        <w:numPr>
          <w:ilvl w:val="0"/>
          <w:numId w:val="8"/>
        </w:numPr>
        <w:ind w:right="-567"/>
        <w:jc w:val="both"/>
        <w:rPr>
          <w:rFonts w:ascii="Arial" w:hAnsi="Arial" w:cs="Arial"/>
          <w:sz w:val="24"/>
          <w:szCs w:val="24"/>
        </w:rPr>
      </w:pPr>
      <w:r w:rsidRPr="00FB6554">
        <w:rPr>
          <w:rFonts w:ascii="Arial" w:hAnsi="Arial" w:cs="Arial"/>
          <w:sz w:val="24"/>
          <w:szCs w:val="24"/>
          <w:lang w:val="es-ES"/>
        </w:rPr>
        <w:t xml:space="preserve">Universidad Distrital </w:t>
      </w:r>
      <w:r w:rsidR="00A84900" w:rsidRPr="00FB6554">
        <w:rPr>
          <w:rFonts w:ascii="Arial" w:hAnsi="Arial" w:cs="Arial"/>
          <w:sz w:val="24"/>
          <w:szCs w:val="24"/>
          <w:lang w:val="es-ES"/>
        </w:rPr>
        <w:t xml:space="preserve">regulada por el Acuerdo Distrital 696 de 2017 </w:t>
      </w:r>
      <w:r w:rsidRPr="00FB6554">
        <w:rPr>
          <w:rFonts w:ascii="Arial" w:hAnsi="Arial" w:cs="Arial"/>
          <w:sz w:val="24"/>
          <w:szCs w:val="24"/>
          <w:lang w:val="es-ES"/>
        </w:rPr>
        <w:t>y</w:t>
      </w:r>
    </w:p>
    <w:p w14:paraId="3FAA30AB" w14:textId="747A363A" w:rsidR="001C4C99" w:rsidRPr="00FB6554" w:rsidRDefault="001C4C99" w:rsidP="007F4187">
      <w:pPr>
        <w:pStyle w:val="Prrafodelista"/>
        <w:numPr>
          <w:ilvl w:val="0"/>
          <w:numId w:val="8"/>
        </w:numPr>
        <w:ind w:right="-567"/>
        <w:jc w:val="both"/>
        <w:rPr>
          <w:rFonts w:ascii="Arial" w:hAnsi="Arial" w:cs="Arial"/>
          <w:sz w:val="24"/>
          <w:szCs w:val="24"/>
        </w:rPr>
      </w:pPr>
      <w:r w:rsidRPr="00FB6554">
        <w:rPr>
          <w:rFonts w:ascii="Arial" w:hAnsi="Arial" w:cs="Arial"/>
          <w:sz w:val="24"/>
          <w:szCs w:val="24"/>
          <w:lang w:val="es-ES"/>
        </w:rPr>
        <w:t xml:space="preserve">Universidad Pedagógica, </w:t>
      </w:r>
      <w:r w:rsidR="00A84900" w:rsidRPr="00FB6554">
        <w:rPr>
          <w:rFonts w:ascii="Arial" w:hAnsi="Arial" w:cs="Arial"/>
          <w:sz w:val="24"/>
          <w:szCs w:val="24"/>
          <w:lang w:val="es-ES"/>
        </w:rPr>
        <w:t>regulada por el Acuerdo Distrital 568 de 201</w:t>
      </w:r>
      <w:r w:rsidR="00FB6554">
        <w:rPr>
          <w:rFonts w:ascii="Arial" w:hAnsi="Arial" w:cs="Arial"/>
          <w:sz w:val="24"/>
          <w:szCs w:val="24"/>
          <w:lang w:val="es-ES"/>
        </w:rPr>
        <w:t>4.</w:t>
      </w:r>
    </w:p>
    <w:p w14:paraId="45DD699F" w14:textId="727FB010" w:rsidR="00B32BAD" w:rsidRDefault="000560A9" w:rsidP="007F4187">
      <w:pPr>
        <w:ind w:right="-567"/>
        <w:jc w:val="both"/>
        <w:rPr>
          <w:rFonts w:ascii="Arial" w:hAnsi="Arial" w:cs="Arial"/>
          <w:sz w:val="24"/>
          <w:szCs w:val="24"/>
        </w:rPr>
      </w:pPr>
      <w:r>
        <w:rPr>
          <w:rFonts w:ascii="Arial" w:hAnsi="Arial" w:cs="Arial"/>
          <w:sz w:val="24"/>
          <w:szCs w:val="24"/>
        </w:rPr>
        <w:t xml:space="preserve">De la normatividad analizada en el concepto </w:t>
      </w:r>
      <w:r w:rsidRPr="000560A9">
        <w:rPr>
          <w:rFonts w:ascii="Arial" w:hAnsi="Arial" w:cs="Arial"/>
          <w:sz w:val="24"/>
          <w:szCs w:val="24"/>
        </w:rPr>
        <w:t xml:space="preserve">se </w:t>
      </w:r>
      <w:r w:rsidR="00A55BBF">
        <w:rPr>
          <w:rFonts w:ascii="Arial" w:hAnsi="Arial" w:cs="Arial"/>
          <w:sz w:val="24"/>
          <w:szCs w:val="24"/>
        </w:rPr>
        <w:t>establece</w:t>
      </w:r>
      <w:r>
        <w:rPr>
          <w:rFonts w:ascii="Arial" w:hAnsi="Arial" w:cs="Arial"/>
          <w:sz w:val="24"/>
          <w:szCs w:val="24"/>
        </w:rPr>
        <w:t xml:space="preserve"> con claridad</w:t>
      </w:r>
      <w:r w:rsidR="001C4C99">
        <w:rPr>
          <w:rFonts w:ascii="Arial" w:hAnsi="Arial" w:cs="Arial"/>
          <w:sz w:val="24"/>
          <w:szCs w:val="24"/>
        </w:rPr>
        <w:t xml:space="preserve"> </w:t>
      </w:r>
      <w:r w:rsidR="00CB38BF">
        <w:rPr>
          <w:rFonts w:ascii="Arial" w:hAnsi="Arial" w:cs="Arial"/>
          <w:sz w:val="24"/>
          <w:szCs w:val="24"/>
        </w:rPr>
        <w:t xml:space="preserve">los </w:t>
      </w:r>
      <w:r w:rsidR="001C4C99">
        <w:rPr>
          <w:rFonts w:ascii="Arial" w:hAnsi="Arial" w:cs="Arial"/>
          <w:sz w:val="24"/>
          <w:szCs w:val="24"/>
        </w:rPr>
        <w:t>elemento</w:t>
      </w:r>
      <w:r w:rsidR="00CB38BF">
        <w:rPr>
          <w:rFonts w:ascii="Arial" w:hAnsi="Arial" w:cs="Arial"/>
          <w:sz w:val="24"/>
          <w:szCs w:val="24"/>
        </w:rPr>
        <w:t>s</w:t>
      </w:r>
      <w:r w:rsidR="001C4C99">
        <w:rPr>
          <w:rFonts w:ascii="Arial" w:hAnsi="Arial" w:cs="Arial"/>
          <w:sz w:val="24"/>
          <w:szCs w:val="24"/>
        </w:rPr>
        <w:t xml:space="preserve"> del hecho generador del gravamen</w:t>
      </w:r>
      <w:r w:rsidR="00CB38BF">
        <w:rPr>
          <w:rFonts w:ascii="Arial" w:hAnsi="Arial" w:cs="Arial"/>
          <w:sz w:val="24"/>
          <w:szCs w:val="24"/>
        </w:rPr>
        <w:t xml:space="preserve"> y </w:t>
      </w:r>
      <w:r>
        <w:rPr>
          <w:rFonts w:ascii="Arial" w:hAnsi="Arial" w:cs="Arial"/>
          <w:sz w:val="24"/>
          <w:szCs w:val="24"/>
        </w:rPr>
        <w:t xml:space="preserve">los sujetos pasivos del </w:t>
      </w:r>
      <w:r w:rsidR="00A55BBF">
        <w:rPr>
          <w:rFonts w:ascii="Arial" w:hAnsi="Arial" w:cs="Arial"/>
          <w:sz w:val="24"/>
          <w:szCs w:val="24"/>
        </w:rPr>
        <w:t>gravamen</w:t>
      </w:r>
      <w:r>
        <w:rPr>
          <w:rFonts w:ascii="Arial" w:hAnsi="Arial" w:cs="Arial"/>
          <w:sz w:val="24"/>
          <w:szCs w:val="24"/>
        </w:rPr>
        <w:t xml:space="preserve"> </w:t>
      </w:r>
      <w:r w:rsidR="00D31189">
        <w:rPr>
          <w:rFonts w:ascii="Arial" w:hAnsi="Arial" w:cs="Arial"/>
          <w:sz w:val="24"/>
          <w:szCs w:val="24"/>
        </w:rPr>
        <w:t xml:space="preserve">los cuales se </w:t>
      </w:r>
      <w:r w:rsidR="00A55BBF">
        <w:rPr>
          <w:rFonts w:ascii="Arial" w:hAnsi="Arial" w:cs="Arial"/>
          <w:sz w:val="24"/>
          <w:szCs w:val="24"/>
        </w:rPr>
        <w:t xml:space="preserve">compendian en el </w:t>
      </w:r>
      <w:r w:rsidR="00D31189">
        <w:rPr>
          <w:rFonts w:ascii="Arial" w:hAnsi="Arial" w:cs="Arial"/>
          <w:sz w:val="24"/>
          <w:szCs w:val="24"/>
        </w:rPr>
        <w:t>cuadro</w:t>
      </w:r>
      <w:r w:rsidR="00A55BBF">
        <w:rPr>
          <w:rFonts w:ascii="Arial" w:hAnsi="Arial" w:cs="Arial"/>
          <w:sz w:val="24"/>
          <w:szCs w:val="24"/>
        </w:rPr>
        <w:t xml:space="preserve"> resumen</w:t>
      </w:r>
      <w:r w:rsidR="00CB38BF">
        <w:rPr>
          <w:rFonts w:ascii="Arial" w:hAnsi="Arial" w:cs="Arial"/>
          <w:sz w:val="24"/>
          <w:szCs w:val="24"/>
        </w:rPr>
        <w:t>.</w:t>
      </w:r>
    </w:p>
    <w:p w14:paraId="0FA9C4D4" w14:textId="77777777" w:rsidR="00B32BAD" w:rsidRDefault="00B32BAD" w:rsidP="007F4187">
      <w:pPr>
        <w:ind w:right="-567"/>
        <w:jc w:val="both"/>
        <w:rPr>
          <w:rFonts w:ascii="Arial" w:hAnsi="Arial" w:cs="Arial"/>
          <w:sz w:val="24"/>
          <w:szCs w:val="24"/>
        </w:rPr>
      </w:pPr>
    </w:p>
    <w:p w14:paraId="320FDDBA" w14:textId="77777777" w:rsidR="000950A8" w:rsidRDefault="00B32BAD" w:rsidP="007F4187">
      <w:pPr>
        <w:ind w:right="-567"/>
        <w:jc w:val="both"/>
        <w:rPr>
          <w:rFonts w:ascii="Arial" w:hAnsi="Arial" w:cs="Arial"/>
          <w:sz w:val="24"/>
          <w:szCs w:val="24"/>
        </w:rPr>
      </w:pPr>
      <w:r>
        <w:rPr>
          <w:rFonts w:ascii="Arial" w:hAnsi="Arial" w:cs="Arial"/>
          <w:sz w:val="24"/>
          <w:szCs w:val="24"/>
        </w:rPr>
        <w:lastRenderedPageBreak/>
        <w:t>Del</w:t>
      </w:r>
      <w:r w:rsidR="001720C5">
        <w:rPr>
          <w:rFonts w:ascii="Arial" w:hAnsi="Arial" w:cs="Arial"/>
          <w:sz w:val="24"/>
          <w:szCs w:val="24"/>
        </w:rPr>
        <w:t xml:space="preserve"> mismo modo </w:t>
      </w:r>
      <w:r w:rsidR="00816A98">
        <w:rPr>
          <w:rFonts w:ascii="Arial" w:hAnsi="Arial" w:cs="Arial"/>
          <w:sz w:val="24"/>
          <w:szCs w:val="24"/>
        </w:rPr>
        <w:t xml:space="preserve">se </w:t>
      </w:r>
      <w:r w:rsidR="00CB38BF">
        <w:rPr>
          <w:rFonts w:ascii="Arial" w:hAnsi="Arial" w:cs="Arial"/>
          <w:sz w:val="24"/>
          <w:szCs w:val="24"/>
        </w:rPr>
        <w:t>evidencia</w:t>
      </w:r>
      <w:r w:rsidR="0093670B">
        <w:rPr>
          <w:rFonts w:ascii="Arial" w:hAnsi="Arial" w:cs="Arial"/>
          <w:sz w:val="24"/>
          <w:szCs w:val="24"/>
        </w:rPr>
        <w:t xml:space="preserve"> </w:t>
      </w:r>
      <w:r w:rsidR="004E5F5D">
        <w:rPr>
          <w:rFonts w:ascii="Arial" w:hAnsi="Arial" w:cs="Arial"/>
          <w:sz w:val="24"/>
          <w:szCs w:val="24"/>
        </w:rPr>
        <w:t>que,</w:t>
      </w:r>
      <w:r w:rsidR="00EF2688">
        <w:rPr>
          <w:rFonts w:ascii="Arial" w:hAnsi="Arial" w:cs="Arial"/>
          <w:sz w:val="24"/>
          <w:szCs w:val="24"/>
        </w:rPr>
        <w:t xml:space="preserve"> para el caso de las estampillas de Procultura</w:t>
      </w:r>
      <w:r w:rsidR="004E5F5D">
        <w:rPr>
          <w:rFonts w:ascii="Arial" w:hAnsi="Arial" w:cs="Arial"/>
          <w:sz w:val="24"/>
          <w:szCs w:val="24"/>
        </w:rPr>
        <w:t xml:space="preserve">, </w:t>
      </w:r>
      <w:r w:rsidR="004E5F5D" w:rsidRPr="004E5F5D">
        <w:rPr>
          <w:rFonts w:ascii="Arial" w:hAnsi="Arial" w:cs="Arial"/>
          <w:sz w:val="24"/>
          <w:szCs w:val="24"/>
          <w:lang w:val="es-ES"/>
        </w:rPr>
        <w:t>Bienestar del Adulto Mayor</w:t>
      </w:r>
      <w:r w:rsidR="004E5F5D">
        <w:rPr>
          <w:rFonts w:ascii="Arial" w:hAnsi="Arial" w:cs="Arial"/>
          <w:sz w:val="24"/>
          <w:szCs w:val="24"/>
          <w:lang w:val="es-ES"/>
        </w:rPr>
        <w:t xml:space="preserve"> y Universidad Distrital,</w:t>
      </w:r>
      <w:r w:rsidR="0093670B">
        <w:rPr>
          <w:rFonts w:ascii="Arial" w:hAnsi="Arial" w:cs="Arial"/>
          <w:sz w:val="24"/>
          <w:szCs w:val="24"/>
        </w:rPr>
        <w:t xml:space="preserve"> la</w:t>
      </w:r>
      <w:r w:rsidR="00816A98">
        <w:rPr>
          <w:rFonts w:ascii="Arial" w:hAnsi="Arial" w:cs="Arial"/>
          <w:sz w:val="24"/>
          <w:szCs w:val="24"/>
        </w:rPr>
        <w:t xml:space="preserve"> normatividad que regula </w:t>
      </w:r>
      <w:r w:rsidR="004E5F5D">
        <w:rPr>
          <w:rFonts w:ascii="Arial" w:hAnsi="Arial" w:cs="Arial"/>
          <w:sz w:val="24"/>
          <w:szCs w:val="24"/>
        </w:rPr>
        <w:t>los</w:t>
      </w:r>
      <w:r w:rsidR="00816A98">
        <w:rPr>
          <w:rFonts w:ascii="Arial" w:hAnsi="Arial" w:cs="Arial"/>
          <w:sz w:val="24"/>
          <w:szCs w:val="24"/>
        </w:rPr>
        <w:t xml:space="preserve"> </w:t>
      </w:r>
      <w:r w:rsidR="004E5F5D">
        <w:rPr>
          <w:rFonts w:ascii="Arial" w:hAnsi="Arial" w:cs="Arial"/>
          <w:sz w:val="24"/>
          <w:szCs w:val="24"/>
        </w:rPr>
        <w:t>gravámenes</w:t>
      </w:r>
      <w:r w:rsidR="00816A98">
        <w:rPr>
          <w:rFonts w:ascii="Arial" w:hAnsi="Arial" w:cs="Arial"/>
          <w:sz w:val="24"/>
          <w:szCs w:val="24"/>
        </w:rPr>
        <w:t xml:space="preserve"> </w:t>
      </w:r>
      <w:r w:rsidR="0093670B">
        <w:rPr>
          <w:rFonts w:ascii="Arial" w:hAnsi="Arial" w:cs="Arial"/>
          <w:sz w:val="24"/>
          <w:szCs w:val="24"/>
        </w:rPr>
        <w:t xml:space="preserve">contemplan unas exclusiones </w:t>
      </w:r>
      <w:r w:rsidR="004E5F5D">
        <w:rPr>
          <w:rFonts w:ascii="Arial" w:hAnsi="Arial" w:cs="Arial"/>
          <w:sz w:val="24"/>
          <w:szCs w:val="24"/>
        </w:rPr>
        <w:t>para</w:t>
      </w:r>
      <w:r w:rsidR="0093670B">
        <w:rPr>
          <w:rFonts w:ascii="Arial" w:hAnsi="Arial" w:cs="Arial"/>
          <w:sz w:val="24"/>
          <w:szCs w:val="24"/>
        </w:rPr>
        <w:t xml:space="preserve"> su cobro</w:t>
      </w:r>
      <w:r w:rsidR="000950A8">
        <w:rPr>
          <w:rFonts w:ascii="Arial" w:hAnsi="Arial" w:cs="Arial"/>
          <w:sz w:val="24"/>
          <w:szCs w:val="24"/>
        </w:rPr>
        <w:t>.</w:t>
      </w:r>
    </w:p>
    <w:p w14:paraId="76180B85" w14:textId="77777777" w:rsidR="00FB6554" w:rsidRDefault="00FB6554" w:rsidP="007F4187">
      <w:pPr>
        <w:shd w:val="clear" w:color="auto" w:fill="FFFFFF"/>
        <w:ind w:right="-567"/>
        <w:jc w:val="both"/>
        <w:rPr>
          <w:rFonts w:ascii="Arial" w:hAnsi="Arial" w:cs="Arial"/>
          <w:sz w:val="24"/>
          <w:szCs w:val="24"/>
        </w:rPr>
      </w:pPr>
    </w:p>
    <w:p w14:paraId="2F215E09" w14:textId="1F861673" w:rsidR="000950A8" w:rsidRPr="00066372" w:rsidRDefault="000950A8" w:rsidP="007F4187">
      <w:pPr>
        <w:shd w:val="clear" w:color="auto" w:fill="FFFFFF"/>
        <w:ind w:right="-567"/>
        <w:jc w:val="both"/>
        <w:rPr>
          <w:rFonts w:ascii="Arial" w:hAnsi="Arial" w:cs="Arial"/>
          <w:sz w:val="24"/>
          <w:szCs w:val="24"/>
        </w:rPr>
      </w:pPr>
      <w:r w:rsidRPr="00066372">
        <w:rPr>
          <w:rFonts w:ascii="Arial" w:hAnsi="Arial" w:cs="Arial"/>
          <w:sz w:val="24"/>
          <w:szCs w:val="24"/>
        </w:rPr>
        <w:t>Es importante tener presente que las exenciones</w:t>
      </w:r>
      <w:r w:rsidR="00D37EDA">
        <w:rPr>
          <w:rFonts w:ascii="Arial" w:hAnsi="Arial" w:cs="Arial"/>
          <w:sz w:val="24"/>
          <w:szCs w:val="24"/>
        </w:rPr>
        <w:t xml:space="preserve"> o tratamientos preferenciales </w:t>
      </w:r>
      <w:r w:rsidRPr="00066372">
        <w:rPr>
          <w:rFonts w:ascii="Arial" w:hAnsi="Arial" w:cs="Arial"/>
          <w:sz w:val="24"/>
          <w:szCs w:val="24"/>
        </w:rPr>
        <w:t>deben tener soporte legal, estar expresamente contempladas en la ley y son taxativas y, por ende, de aplicación restrictiva, lo cual impide extender beneficios a sujetos o hechos que la ley no ha mencionado, esto es, es improcedente aplicarlas por analogía.  Así lo ha precisado el Consejo de Estado</w:t>
      </w:r>
      <w:r w:rsidRPr="00A27DF5">
        <w:rPr>
          <w:sz w:val="24"/>
          <w:szCs w:val="24"/>
          <w:vertAlign w:val="superscript"/>
        </w:rPr>
        <w:footnoteReference w:id="2"/>
      </w:r>
      <w:r w:rsidRPr="00066372">
        <w:rPr>
          <w:rFonts w:ascii="Arial" w:hAnsi="Arial" w:cs="Arial"/>
          <w:sz w:val="24"/>
          <w:szCs w:val="24"/>
        </w:rPr>
        <w:t xml:space="preserve"> al señalar lo siguiente: </w:t>
      </w:r>
    </w:p>
    <w:p w14:paraId="2E213897" w14:textId="77777777" w:rsidR="000950A8" w:rsidRPr="006F5C41" w:rsidRDefault="000950A8" w:rsidP="007F4187">
      <w:pPr>
        <w:shd w:val="clear" w:color="auto" w:fill="FFFFFF"/>
        <w:ind w:right="-567"/>
        <w:jc w:val="both"/>
        <w:rPr>
          <w:rFonts w:ascii="Arial" w:hAnsi="Arial" w:cs="Arial"/>
          <w:lang w:eastAsia="es-CO"/>
        </w:rPr>
      </w:pPr>
    </w:p>
    <w:p w14:paraId="4B84D0F9" w14:textId="67191930" w:rsidR="000950A8" w:rsidRPr="00D37EDA" w:rsidRDefault="000950A8" w:rsidP="007F4187">
      <w:pPr>
        <w:tabs>
          <w:tab w:val="left" w:pos="8280"/>
          <w:tab w:val="left" w:pos="8379"/>
        </w:tabs>
        <w:ind w:left="284" w:right="-567"/>
        <w:jc w:val="both"/>
        <w:rPr>
          <w:rFonts w:ascii="Arial" w:hAnsi="Arial" w:cs="Arial"/>
          <w:i/>
          <w:iCs/>
          <w:sz w:val="22"/>
          <w:szCs w:val="22"/>
        </w:rPr>
      </w:pPr>
      <w:r>
        <w:rPr>
          <w:rFonts w:ascii="Arial" w:hAnsi="Arial" w:cs="Arial"/>
          <w:i/>
          <w:iCs/>
          <w:sz w:val="22"/>
          <w:szCs w:val="22"/>
          <w:shd w:val="clear" w:color="auto" w:fill="FFFFFF"/>
        </w:rPr>
        <w:t>[…]</w:t>
      </w:r>
      <w:r w:rsidR="00D37EDA" w:rsidRPr="00D37EDA">
        <w:rPr>
          <w:rFonts w:ascii="Arial" w:hAnsi="Arial" w:cs="Arial"/>
          <w:sz w:val="22"/>
          <w:szCs w:val="22"/>
        </w:rPr>
        <w:t>Tratándose de exenciones o tratamientos preferenciales, las normas deben ser expresas y taxativas y su interpretación es de carácter restrictivo, sin que puedan extenderse los beneficios a sujetos o hechos no contemplados en la norma que los concede, pues no es posible su aplicación por analogía.</w:t>
      </w:r>
      <w:r w:rsidRPr="00D37EDA">
        <w:rPr>
          <w:rFonts w:ascii="Arial" w:hAnsi="Arial" w:cs="Arial"/>
          <w:i/>
          <w:iCs/>
          <w:sz w:val="22"/>
          <w:szCs w:val="22"/>
        </w:rPr>
        <w:t xml:space="preserve">” </w:t>
      </w:r>
    </w:p>
    <w:p w14:paraId="6990074B" w14:textId="77777777" w:rsidR="000950A8" w:rsidRDefault="000950A8" w:rsidP="007F4187">
      <w:pPr>
        <w:ind w:right="-567"/>
        <w:jc w:val="both"/>
        <w:rPr>
          <w:rFonts w:ascii="Arial" w:hAnsi="Arial" w:cs="Arial"/>
          <w:sz w:val="24"/>
          <w:szCs w:val="24"/>
        </w:rPr>
      </w:pPr>
    </w:p>
    <w:p w14:paraId="6BB41266" w14:textId="48E82BBE" w:rsidR="00CF3423" w:rsidRDefault="00F21E2C" w:rsidP="007F4187">
      <w:pPr>
        <w:ind w:right="-567"/>
        <w:jc w:val="both"/>
        <w:rPr>
          <w:rFonts w:ascii="Arial" w:hAnsi="Arial" w:cs="Arial"/>
          <w:sz w:val="24"/>
          <w:szCs w:val="24"/>
        </w:rPr>
      </w:pPr>
      <w:r>
        <w:rPr>
          <w:rFonts w:ascii="Arial" w:hAnsi="Arial" w:cs="Arial"/>
          <w:sz w:val="24"/>
          <w:szCs w:val="24"/>
        </w:rPr>
        <w:t>En tal sentido, están exc</w:t>
      </w:r>
      <w:r w:rsidR="006C350F">
        <w:rPr>
          <w:rFonts w:ascii="Arial" w:hAnsi="Arial" w:cs="Arial"/>
          <w:sz w:val="24"/>
          <w:szCs w:val="24"/>
        </w:rPr>
        <w:t xml:space="preserve">luidos </w:t>
      </w:r>
      <w:r w:rsidR="003F0CAB">
        <w:rPr>
          <w:rFonts w:ascii="Arial" w:hAnsi="Arial" w:cs="Arial"/>
          <w:sz w:val="24"/>
          <w:szCs w:val="24"/>
        </w:rPr>
        <w:t xml:space="preserve">del pago de las estampillas </w:t>
      </w:r>
      <w:r>
        <w:rPr>
          <w:rFonts w:ascii="Arial" w:hAnsi="Arial" w:cs="Arial"/>
          <w:sz w:val="24"/>
          <w:szCs w:val="24"/>
        </w:rPr>
        <w:t>Pro- cultura, bienestar para el adulto mayor</w:t>
      </w:r>
      <w:r w:rsidR="003F0CAB">
        <w:rPr>
          <w:rFonts w:ascii="Arial" w:hAnsi="Arial" w:cs="Arial"/>
          <w:sz w:val="24"/>
          <w:szCs w:val="24"/>
        </w:rPr>
        <w:t>, l</w:t>
      </w:r>
      <w:r w:rsidR="008A5054" w:rsidRPr="008A5054">
        <w:rPr>
          <w:rFonts w:ascii="Arial" w:hAnsi="Arial" w:cs="Arial"/>
          <w:sz w:val="24"/>
          <w:szCs w:val="24"/>
        </w:rPr>
        <w:t xml:space="preserve">os convenios interadministrativos y los contratos que las entidades que conforman el Presupuesto Anual del Distrito Capital suscriban con las entidades de derecho público, juntas de acción comunal, ligas deportivas municipales y locales con personería jurídica reconocida por la entidad competente, préstamos del Fondo de Vivienda Distrital, los contratos de empréstitos y las operaciones de crédito público, las operaciones del manejo y conexas con las anteriores. </w:t>
      </w:r>
    </w:p>
    <w:p w14:paraId="022C7261" w14:textId="77777777" w:rsidR="00CF3423" w:rsidRDefault="00CF3423" w:rsidP="007F4187">
      <w:pPr>
        <w:ind w:right="-567"/>
        <w:jc w:val="both"/>
        <w:rPr>
          <w:rFonts w:ascii="Arial" w:hAnsi="Arial" w:cs="Arial"/>
          <w:sz w:val="24"/>
          <w:szCs w:val="24"/>
        </w:rPr>
      </w:pPr>
    </w:p>
    <w:p w14:paraId="72C95FB2" w14:textId="5A064947" w:rsidR="008A5054" w:rsidRDefault="00CF3423" w:rsidP="007F4187">
      <w:pPr>
        <w:ind w:right="-567"/>
        <w:jc w:val="both"/>
        <w:rPr>
          <w:rFonts w:ascii="Arial" w:hAnsi="Arial" w:cs="Arial"/>
          <w:sz w:val="24"/>
          <w:szCs w:val="24"/>
        </w:rPr>
      </w:pPr>
      <w:r>
        <w:rPr>
          <w:rFonts w:ascii="Arial" w:hAnsi="Arial" w:cs="Arial"/>
          <w:sz w:val="24"/>
          <w:szCs w:val="24"/>
        </w:rPr>
        <w:t>E</w:t>
      </w:r>
      <w:r w:rsidR="00194E72">
        <w:rPr>
          <w:rFonts w:ascii="Arial" w:hAnsi="Arial" w:cs="Arial"/>
          <w:sz w:val="24"/>
          <w:szCs w:val="24"/>
        </w:rPr>
        <w:t xml:space="preserve">n el caso de la estampilla Universidad Distrital </w:t>
      </w:r>
      <w:r w:rsidR="008A5054" w:rsidRPr="008A5054">
        <w:rPr>
          <w:rFonts w:ascii="Arial" w:hAnsi="Arial" w:cs="Arial"/>
          <w:sz w:val="24"/>
          <w:szCs w:val="24"/>
        </w:rPr>
        <w:t>se excluyen de dicho pago</w:t>
      </w:r>
      <w:r w:rsidRPr="00EC46A1">
        <w:rPr>
          <w:rFonts w:ascii="Arial" w:hAnsi="Arial" w:cs="Arial"/>
          <w:sz w:val="24"/>
          <w:szCs w:val="24"/>
        </w:rPr>
        <w:t xml:space="preserve"> </w:t>
      </w:r>
      <w:r w:rsidR="001A3EE1" w:rsidRPr="00EC46A1">
        <w:rPr>
          <w:rFonts w:ascii="Arial" w:hAnsi="Arial" w:cs="Arial"/>
          <w:sz w:val="24"/>
          <w:szCs w:val="24"/>
        </w:rPr>
        <w:t>l</w:t>
      </w:r>
      <w:r w:rsidRPr="00CF3423">
        <w:rPr>
          <w:rFonts w:ascii="Arial" w:hAnsi="Arial" w:cs="Arial"/>
          <w:sz w:val="24"/>
          <w:szCs w:val="24"/>
        </w:rPr>
        <w:t xml:space="preserve">as operaciones de crédito público, las operaciones asimiladas a operaciones de crédito público, las operaciones de manejo de deuda pública y las conexas con las anteriores, </w:t>
      </w:r>
      <w:r w:rsidR="005D73C3">
        <w:rPr>
          <w:rFonts w:ascii="Arial" w:hAnsi="Arial" w:cs="Arial"/>
          <w:sz w:val="24"/>
          <w:szCs w:val="24"/>
        </w:rPr>
        <w:t xml:space="preserve">así como </w:t>
      </w:r>
      <w:r w:rsidR="00721208">
        <w:rPr>
          <w:rFonts w:ascii="Arial" w:hAnsi="Arial" w:cs="Arial"/>
          <w:sz w:val="24"/>
          <w:szCs w:val="24"/>
        </w:rPr>
        <w:t>l</w:t>
      </w:r>
      <w:r w:rsidR="005D73C3" w:rsidRPr="005D73C3">
        <w:rPr>
          <w:rFonts w:ascii="Arial" w:hAnsi="Arial" w:cs="Arial"/>
          <w:sz w:val="24"/>
          <w:szCs w:val="24"/>
        </w:rPr>
        <w:t>os contratos de prestación de servicios suscritos con personas naturales, cuyo valor no supere las 315 Unidades de Valor Tributario</w:t>
      </w:r>
      <w:r w:rsidR="00721208">
        <w:rPr>
          <w:rFonts w:ascii="Arial" w:hAnsi="Arial" w:cs="Arial"/>
          <w:sz w:val="24"/>
          <w:szCs w:val="24"/>
        </w:rPr>
        <w:t>.</w:t>
      </w:r>
      <w:r w:rsidR="005D73C3" w:rsidRPr="005D73C3">
        <w:rPr>
          <w:rFonts w:ascii="Arial" w:hAnsi="Arial" w:cs="Arial"/>
          <w:sz w:val="24"/>
          <w:szCs w:val="24"/>
        </w:rPr>
        <w:t xml:space="preserve"> </w:t>
      </w:r>
    </w:p>
    <w:p w14:paraId="651074B6" w14:textId="77777777" w:rsidR="000950A8" w:rsidRDefault="000950A8" w:rsidP="007F4187">
      <w:pPr>
        <w:ind w:right="-567"/>
        <w:jc w:val="both"/>
        <w:rPr>
          <w:rFonts w:ascii="Arial" w:hAnsi="Arial" w:cs="Arial"/>
          <w:sz w:val="24"/>
          <w:szCs w:val="24"/>
        </w:rPr>
      </w:pPr>
    </w:p>
    <w:p w14:paraId="451C691B" w14:textId="770ABF92" w:rsidR="0093670B" w:rsidRDefault="00317B75" w:rsidP="007F4187">
      <w:pPr>
        <w:ind w:right="-567"/>
        <w:jc w:val="both"/>
        <w:rPr>
          <w:rFonts w:ascii="Arial" w:hAnsi="Arial" w:cs="Arial"/>
          <w:sz w:val="24"/>
          <w:szCs w:val="24"/>
        </w:rPr>
      </w:pPr>
      <w:r>
        <w:rPr>
          <w:rFonts w:ascii="Arial" w:hAnsi="Arial" w:cs="Arial"/>
          <w:sz w:val="24"/>
          <w:szCs w:val="24"/>
        </w:rPr>
        <w:t xml:space="preserve">Se observa que </w:t>
      </w:r>
      <w:r w:rsidR="00D9509C">
        <w:rPr>
          <w:rFonts w:ascii="Arial" w:hAnsi="Arial" w:cs="Arial"/>
          <w:sz w:val="24"/>
          <w:szCs w:val="24"/>
        </w:rPr>
        <w:t xml:space="preserve">del tipo de convenios o contratos que se encuentran excluidos del pago de la estampilla </w:t>
      </w:r>
      <w:r w:rsidR="004925C6">
        <w:rPr>
          <w:rFonts w:ascii="Arial" w:hAnsi="Arial" w:cs="Arial"/>
          <w:sz w:val="24"/>
          <w:szCs w:val="24"/>
        </w:rPr>
        <w:t xml:space="preserve">no se encuentra alguno relacionado con </w:t>
      </w:r>
      <w:r w:rsidR="0093670B">
        <w:rPr>
          <w:rFonts w:ascii="Arial" w:hAnsi="Arial" w:cs="Arial"/>
          <w:sz w:val="24"/>
          <w:szCs w:val="24"/>
        </w:rPr>
        <w:t>la contratación con empresas extranjeras o contratación en el exterior</w:t>
      </w:r>
      <w:r w:rsidR="001720C5">
        <w:rPr>
          <w:rFonts w:ascii="Arial" w:hAnsi="Arial" w:cs="Arial"/>
          <w:sz w:val="24"/>
          <w:szCs w:val="24"/>
        </w:rPr>
        <w:t xml:space="preserve"> que sería el caso consultado.</w:t>
      </w:r>
      <w:r w:rsidR="0093670B">
        <w:rPr>
          <w:rFonts w:ascii="Arial" w:hAnsi="Arial" w:cs="Arial"/>
          <w:sz w:val="24"/>
          <w:szCs w:val="24"/>
        </w:rPr>
        <w:t xml:space="preserve"> </w:t>
      </w:r>
      <w:r w:rsidR="000560A9">
        <w:rPr>
          <w:rFonts w:ascii="Arial" w:hAnsi="Arial" w:cs="Arial"/>
          <w:sz w:val="24"/>
          <w:szCs w:val="24"/>
        </w:rPr>
        <w:t xml:space="preserve"> </w:t>
      </w:r>
    </w:p>
    <w:p w14:paraId="053C7271" w14:textId="77777777" w:rsidR="00230920" w:rsidRDefault="00230920" w:rsidP="007F4187">
      <w:pPr>
        <w:ind w:right="-567"/>
        <w:jc w:val="both"/>
        <w:rPr>
          <w:rFonts w:ascii="Arial" w:hAnsi="Arial" w:cs="Arial"/>
          <w:sz w:val="24"/>
          <w:szCs w:val="24"/>
        </w:rPr>
      </w:pPr>
    </w:p>
    <w:p w14:paraId="00D8606C" w14:textId="1840B3BF" w:rsidR="00514F2D" w:rsidRDefault="00BE38BA" w:rsidP="007F4187">
      <w:pPr>
        <w:ind w:right="-567"/>
        <w:jc w:val="both"/>
        <w:rPr>
          <w:rFonts w:ascii="Arial" w:hAnsi="Arial" w:cs="Arial"/>
          <w:sz w:val="24"/>
          <w:szCs w:val="24"/>
        </w:rPr>
      </w:pPr>
      <w:r>
        <w:rPr>
          <w:rFonts w:ascii="Arial" w:hAnsi="Arial" w:cs="Arial"/>
          <w:sz w:val="24"/>
          <w:szCs w:val="24"/>
        </w:rPr>
        <w:t xml:space="preserve">En cambio, si se encuentran excluidas </w:t>
      </w:r>
      <w:r w:rsidR="002A0B2B">
        <w:rPr>
          <w:rFonts w:ascii="Arial" w:hAnsi="Arial" w:cs="Arial"/>
          <w:sz w:val="24"/>
          <w:szCs w:val="24"/>
        </w:rPr>
        <w:t>de</w:t>
      </w:r>
      <w:r w:rsidR="00514F2D" w:rsidRPr="00514F2D">
        <w:rPr>
          <w:rFonts w:ascii="Arial" w:hAnsi="Arial" w:cs="Arial"/>
          <w:sz w:val="24"/>
          <w:szCs w:val="24"/>
        </w:rPr>
        <w:t xml:space="preserve"> la estampilla el beneficio del adulto mayor y Pro - Cultura </w:t>
      </w:r>
      <w:r w:rsidR="002A0B2B">
        <w:rPr>
          <w:rFonts w:ascii="Arial" w:hAnsi="Arial" w:cs="Arial"/>
          <w:sz w:val="24"/>
          <w:szCs w:val="24"/>
        </w:rPr>
        <w:t xml:space="preserve">los contratos </w:t>
      </w:r>
      <w:r w:rsidR="00960274">
        <w:rPr>
          <w:rFonts w:ascii="Arial" w:hAnsi="Arial" w:cs="Arial"/>
          <w:sz w:val="24"/>
          <w:szCs w:val="24"/>
        </w:rPr>
        <w:t xml:space="preserve">que suscriban las entidades distritales </w:t>
      </w:r>
      <w:r w:rsidR="00C1632E">
        <w:rPr>
          <w:rFonts w:ascii="Arial" w:hAnsi="Arial" w:cs="Arial"/>
          <w:sz w:val="24"/>
          <w:szCs w:val="24"/>
        </w:rPr>
        <w:t>con</w:t>
      </w:r>
      <w:r w:rsidR="00514F2D" w:rsidRPr="00514F2D">
        <w:rPr>
          <w:rFonts w:ascii="Arial" w:hAnsi="Arial" w:cs="Arial"/>
          <w:sz w:val="24"/>
          <w:szCs w:val="24"/>
        </w:rPr>
        <w:t xml:space="preserve"> organismo</w:t>
      </w:r>
      <w:r w:rsidR="004860B9">
        <w:rPr>
          <w:rFonts w:ascii="Arial" w:hAnsi="Arial" w:cs="Arial"/>
          <w:sz w:val="24"/>
          <w:szCs w:val="24"/>
        </w:rPr>
        <w:t>s</w:t>
      </w:r>
      <w:r w:rsidR="00514F2D" w:rsidRPr="00514F2D">
        <w:rPr>
          <w:rFonts w:ascii="Arial" w:hAnsi="Arial" w:cs="Arial"/>
          <w:sz w:val="24"/>
          <w:szCs w:val="24"/>
        </w:rPr>
        <w:t xml:space="preserve"> o entidad</w:t>
      </w:r>
      <w:r w:rsidR="004860B9">
        <w:rPr>
          <w:rFonts w:ascii="Arial" w:hAnsi="Arial" w:cs="Arial"/>
          <w:sz w:val="24"/>
          <w:szCs w:val="24"/>
        </w:rPr>
        <w:t>es</w:t>
      </w:r>
      <w:r w:rsidR="00514F2D" w:rsidRPr="00514F2D">
        <w:rPr>
          <w:rFonts w:ascii="Arial" w:hAnsi="Arial" w:cs="Arial"/>
          <w:sz w:val="24"/>
          <w:szCs w:val="24"/>
        </w:rPr>
        <w:t xml:space="preserve"> estatal</w:t>
      </w:r>
      <w:r w:rsidR="004860B9">
        <w:rPr>
          <w:rFonts w:ascii="Arial" w:hAnsi="Arial" w:cs="Arial"/>
          <w:sz w:val="24"/>
          <w:szCs w:val="24"/>
        </w:rPr>
        <w:t>es</w:t>
      </w:r>
      <w:r w:rsidR="007B41BB">
        <w:rPr>
          <w:rFonts w:ascii="Arial" w:hAnsi="Arial" w:cs="Arial"/>
          <w:sz w:val="24"/>
          <w:szCs w:val="24"/>
        </w:rPr>
        <w:t>.</w:t>
      </w:r>
      <w:r w:rsidR="00321874">
        <w:rPr>
          <w:rFonts w:ascii="Arial" w:hAnsi="Arial" w:cs="Arial"/>
          <w:sz w:val="24"/>
          <w:szCs w:val="24"/>
        </w:rPr>
        <w:t xml:space="preserve">  Respecto a qué se entiende estar excluido del pago de un tr</w:t>
      </w:r>
      <w:r w:rsidR="00F815C0">
        <w:rPr>
          <w:rFonts w:ascii="Arial" w:hAnsi="Arial" w:cs="Arial"/>
          <w:sz w:val="24"/>
          <w:szCs w:val="24"/>
        </w:rPr>
        <w:t>ibuto, el Consejo de Estado</w:t>
      </w:r>
      <w:r w:rsidR="00F815C0">
        <w:rPr>
          <w:rStyle w:val="Refdenotaalpie"/>
          <w:rFonts w:ascii="Arial" w:hAnsi="Arial" w:cs="Arial"/>
          <w:sz w:val="24"/>
          <w:szCs w:val="24"/>
        </w:rPr>
        <w:footnoteReference w:id="3"/>
      </w:r>
      <w:r w:rsidR="00F815C0">
        <w:rPr>
          <w:rFonts w:ascii="Arial" w:hAnsi="Arial" w:cs="Arial"/>
          <w:sz w:val="24"/>
          <w:szCs w:val="24"/>
        </w:rPr>
        <w:t>, expuso lo siguiente:</w:t>
      </w:r>
    </w:p>
    <w:p w14:paraId="7A4A853E" w14:textId="77777777" w:rsidR="007B41BB" w:rsidRDefault="007B41BB" w:rsidP="007F4187">
      <w:pPr>
        <w:ind w:right="-567"/>
        <w:jc w:val="both"/>
        <w:rPr>
          <w:rFonts w:ascii="Arial" w:hAnsi="Arial" w:cs="Arial"/>
          <w:sz w:val="24"/>
          <w:szCs w:val="24"/>
        </w:rPr>
      </w:pPr>
    </w:p>
    <w:p w14:paraId="13CF6022" w14:textId="4C121C50" w:rsidR="00B802F9" w:rsidRPr="00EC46A1" w:rsidRDefault="006B4F3F" w:rsidP="007F4187">
      <w:pPr>
        <w:pStyle w:val="Textosinformato"/>
        <w:ind w:left="284" w:right="-567"/>
        <w:jc w:val="both"/>
        <w:rPr>
          <w:rFonts w:ascii="Arial" w:hAnsi="Arial" w:cs="Arial"/>
          <w:i/>
          <w:iCs/>
          <w:sz w:val="22"/>
          <w:szCs w:val="22"/>
        </w:rPr>
      </w:pPr>
      <w:r w:rsidRPr="00EC46A1">
        <w:rPr>
          <w:rFonts w:ascii="Arial" w:hAnsi="Arial" w:cs="Arial"/>
          <w:i/>
          <w:iCs/>
          <w:sz w:val="22"/>
          <w:szCs w:val="22"/>
        </w:rPr>
        <w:lastRenderedPageBreak/>
        <w:t>La</w:t>
      </w:r>
      <w:r w:rsidR="00B802F9" w:rsidRPr="00EC46A1">
        <w:rPr>
          <w:rFonts w:ascii="Arial" w:hAnsi="Arial" w:cs="Arial"/>
          <w:i/>
          <w:iCs/>
          <w:sz w:val="22"/>
          <w:szCs w:val="22"/>
        </w:rPr>
        <w:t xml:space="preserve"> doctrina y la jurisprudencia en materia  tributaria distinguen  los conceptos de exención y exclusión, diferencia  que cobra especial importancia, frente al caso objeto de estudio, pues no es lo mismo conceder un trato preferencial a un sujeto pasivo del gravamen (exención), al hecho en el cual, no se configuran los elementos estructurales del mismo (exclusión o no sujeción), máxime si tenemos en cuenta que en el primer caso, existe una clara restricción de carácter constitucional para el legislador.</w:t>
      </w:r>
      <w:r w:rsidR="00B802F9" w:rsidRPr="00EC46A1">
        <w:rPr>
          <w:rStyle w:val="Refdenotaalpie"/>
          <w:rFonts w:ascii="Arial" w:hAnsi="Arial" w:cs="Arial"/>
          <w:i/>
          <w:iCs/>
          <w:sz w:val="22"/>
          <w:szCs w:val="22"/>
        </w:rPr>
        <w:footnoteReference w:id="4"/>
      </w:r>
    </w:p>
    <w:p w14:paraId="7BED8148" w14:textId="3CB0B7DE" w:rsidR="00B802F9" w:rsidRPr="00EC46A1" w:rsidRDefault="004F3B0A" w:rsidP="007F4187">
      <w:pPr>
        <w:pStyle w:val="Textosinformato"/>
        <w:ind w:left="284" w:right="-567"/>
        <w:jc w:val="both"/>
        <w:rPr>
          <w:rFonts w:ascii="Arial" w:hAnsi="Arial" w:cs="Arial"/>
          <w:i/>
          <w:iCs/>
          <w:sz w:val="22"/>
          <w:szCs w:val="22"/>
        </w:rPr>
      </w:pPr>
      <w:r w:rsidRPr="00EC46A1">
        <w:rPr>
          <w:rFonts w:ascii="Arial" w:hAnsi="Arial" w:cs="Arial"/>
          <w:i/>
          <w:iCs/>
          <w:sz w:val="22"/>
          <w:szCs w:val="22"/>
        </w:rPr>
        <w:t>[…]</w:t>
      </w:r>
    </w:p>
    <w:p w14:paraId="5EA34F7B" w14:textId="6DD525AE" w:rsidR="00B802F9" w:rsidRPr="00EC46A1" w:rsidRDefault="00B802F9" w:rsidP="007F4187">
      <w:pPr>
        <w:pStyle w:val="Textosinformato"/>
        <w:ind w:left="284" w:right="-567"/>
        <w:jc w:val="both"/>
        <w:rPr>
          <w:rFonts w:ascii="Arial" w:hAnsi="Arial" w:cs="Arial"/>
          <w:i/>
          <w:iCs/>
          <w:sz w:val="22"/>
          <w:szCs w:val="22"/>
        </w:rPr>
      </w:pPr>
      <w:r w:rsidRPr="00EC46A1">
        <w:rPr>
          <w:rFonts w:ascii="Arial" w:hAnsi="Arial" w:cs="Arial"/>
          <w:i/>
          <w:iCs/>
          <w:sz w:val="22"/>
          <w:szCs w:val="22"/>
        </w:rPr>
        <w:t xml:space="preserve">El </w:t>
      </w:r>
      <w:r w:rsidR="00230920" w:rsidRPr="00EC46A1">
        <w:rPr>
          <w:rFonts w:ascii="Arial" w:hAnsi="Arial" w:cs="Arial"/>
          <w:i/>
          <w:iCs/>
          <w:sz w:val="22"/>
          <w:szCs w:val="22"/>
        </w:rPr>
        <w:t>doctor Alejandro</w:t>
      </w:r>
      <w:r w:rsidRPr="00EC46A1">
        <w:rPr>
          <w:rFonts w:ascii="Arial" w:hAnsi="Arial" w:cs="Arial"/>
          <w:i/>
          <w:iCs/>
          <w:sz w:val="22"/>
          <w:szCs w:val="22"/>
        </w:rPr>
        <w:t xml:space="preserve"> Ramírez </w:t>
      </w:r>
      <w:proofErr w:type="gramStart"/>
      <w:r w:rsidRPr="00EC46A1">
        <w:rPr>
          <w:rFonts w:ascii="Arial" w:hAnsi="Arial" w:cs="Arial"/>
          <w:i/>
          <w:iCs/>
          <w:sz w:val="22"/>
          <w:szCs w:val="22"/>
        </w:rPr>
        <w:t>Cardona,  tratadista</w:t>
      </w:r>
      <w:proofErr w:type="gramEnd"/>
      <w:r w:rsidRPr="00EC46A1">
        <w:rPr>
          <w:rFonts w:ascii="Arial" w:hAnsi="Arial" w:cs="Arial"/>
          <w:i/>
          <w:iCs/>
          <w:sz w:val="22"/>
          <w:szCs w:val="22"/>
        </w:rPr>
        <w:t xml:space="preserve"> de Derecho Tributario, al referirse a estos temas, en su libro “Derecho Tributario”,  señala:</w:t>
      </w:r>
    </w:p>
    <w:p w14:paraId="3A2CF7DA" w14:textId="77777777" w:rsidR="00B802F9" w:rsidRDefault="00B802F9" w:rsidP="007F4187">
      <w:pPr>
        <w:pStyle w:val="Textosinformato"/>
        <w:ind w:right="-567"/>
        <w:jc w:val="both"/>
        <w:rPr>
          <w:rFonts w:ascii="Arial" w:hAnsi="Arial" w:cs="Arial"/>
          <w:sz w:val="24"/>
        </w:rPr>
      </w:pPr>
    </w:p>
    <w:p w14:paraId="613869A4" w14:textId="2D02323D" w:rsidR="00B802F9" w:rsidRPr="00EC46A1" w:rsidRDefault="00B802F9" w:rsidP="007F4187">
      <w:pPr>
        <w:pStyle w:val="Textosinformato"/>
        <w:ind w:left="540" w:right="-567"/>
        <w:jc w:val="both"/>
        <w:rPr>
          <w:rFonts w:ascii="Arial" w:hAnsi="Arial" w:cs="Arial"/>
          <w:i/>
          <w:iCs/>
          <w:sz w:val="22"/>
          <w:szCs w:val="22"/>
        </w:rPr>
      </w:pPr>
      <w:r w:rsidRPr="00EC46A1">
        <w:rPr>
          <w:rFonts w:ascii="Arial" w:hAnsi="Arial" w:cs="Arial"/>
          <w:i/>
          <w:iCs/>
          <w:sz w:val="22"/>
          <w:szCs w:val="22"/>
        </w:rPr>
        <w:t>“</w:t>
      </w:r>
      <w:r w:rsidR="001B37CC" w:rsidRPr="00EC46A1">
        <w:rPr>
          <w:rFonts w:ascii="Arial" w:hAnsi="Arial" w:cs="Arial"/>
          <w:i/>
          <w:iCs/>
          <w:sz w:val="22"/>
          <w:szCs w:val="22"/>
        </w:rPr>
        <w:t>[…]</w:t>
      </w:r>
    </w:p>
    <w:p w14:paraId="5C3F102A" w14:textId="77777777" w:rsidR="00B802F9" w:rsidRPr="00EC46A1" w:rsidRDefault="00B802F9" w:rsidP="007F4187">
      <w:pPr>
        <w:pStyle w:val="Textosinformato"/>
        <w:ind w:left="567" w:right="-567"/>
        <w:jc w:val="both"/>
        <w:rPr>
          <w:rFonts w:ascii="Arial" w:hAnsi="Arial" w:cs="Arial"/>
          <w:i/>
          <w:iCs/>
          <w:sz w:val="22"/>
          <w:szCs w:val="22"/>
        </w:rPr>
      </w:pPr>
      <w:r w:rsidRPr="00EC46A1">
        <w:rPr>
          <w:rFonts w:ascii="Arial" w:hAnsi="Arial" w:cs="Arial"/>
          <w:i/>
          <w:iCs/>
          <w:sz w:val="22"/>
          <w:szCs w:val="22"/>
        </w:rPr>
        <w:t>“</w:t>
      </w:r>
      <w:r w:rsidRPr="00EC46A1">
        <w:rPr>
          <w:rFonts w:ascii="Arial" w:hAnsi="Arial" w:cs="Arial"/>
          <w:b/>
          <w:bCs/>
          <w:i/>
          <w:iCs/>
          <w:sz w:val="22"/>
          <w:szCs w:val="22"/>
        </w:rPr>
        <w:t>No ser sujeto pasivo de la obligación tributaria es diferente a estar exento del gravamen. No ser sujeto pasivo es no estar comprendido en la hipótesis general de la ley, potencialmente, y, por ende, tampoco puede llegar a serlo efectivamente</w:t>
      </w:r>
      <w:r w:rsidRPr="00EC46A1">
        <w:rPr>
          <w:rFonts w:ascii="Arial" w:hAnsi="Arial" w:cs="Arial"/>
          <w:i/>
          <w:iCs/>
          <w:sz w:val="22"/>
          <w:szCs w:val="22"/>
        </w:rPr>
        <w:t>. Por más que desarrolle actividades consideradas materia imponible</w:t>
      </w:r>
      <w:r w:rsidRPr="00EC46A1">
        <w:rPr>
          <w:rFonts w:ascii="Arial" w:hAnsi="Arial" w:cs="Arial"/>
          <w:b/>
          <w:bCs/>
          <w:i/>
          <w:iCs/>
          <w:sz w:val="22"/>
          <w:szCs w:val="22"/>
        </w:rPr>
        <w:t>, no puede exigírsele el pago, pues no se genera el crédito fiscal.</w:t>
      </w:r>
      <w:r w:rsidRPr="00EC46A1">
        <w:rPr>
          <w:rFonts w:ascii="Arial" w:hAnsi="Arial" w:cs="Arial"/>
          <w:i/>
          <w:iCs/>
          <w:sz w:val="22"/>
          <w:szCs w:val="22"/>
        </w:rPr>
        <w:t xml:space="preserve"> En cambio, cuando el sujeto es pasivo potencial de tributo, basta con que desarrolle tal actividad para que surja el vínculo del derecho público en forma concreta; para que, al nacer la obligación, se convierta en sujeto pasivo efectivo. Y es éste el que puede estar exento. Sin que potencialmente, cuando llega a serlo también en forma efectiva, se le exime de pagar todo o parte de la prestación. Es una excepción, se repite, a la circunstancia de que, en igualdad de situaciones, debería pagar el impuesto de que son sujetos pasivos potenciales y efectivos otros entes.</w:t>
      </w:r>
    </w:p>
    <w:p w14:paraId="7A5C079A" w14:textId="77777777" w:rsidR="00B802F9" w:rsidRPr="00EC46A1" w:rsidRDefault="00B802F9" w:rsidP="007F4187">
      <w:pPr>
        <w:pStyle w:val="Textosinformato"/>
        <w:ind w:left="567" w:right="-567"/>
        <w:jc w:val="both"/>
        <w:rPr>
          <w:rFonts w:ascii="Arial" w:hAnsi="Arial" w:cs="Arial"/>
          <w:i/>
          <w:iCs/>
          <w:sz w:val="22"/>
          <w:szCs w:val="22"/>
        </w:rPr>
      </w:pPr>
    </w:p>
    <w:p w14:paraId="379C91D0" w14:textId="41275F1B" w:rsidR="00B802F9" w:rsidRPr="00EC46A1" w:rsidRDefault="00B802F9" w:rsidP="007F4187">
      <w:pPr>
        <w:pStyle w:val="Textosinformato"/>
        <w:ind w:left="567" w:right="-567"/>
        <w:jc w:val="both"/>
        <w:rPr>
          <w:rFonts w:ascii="Arial" w:hAnsi="Arial" w:cs="Arial"/>
          <w:sz w:val="22"/>
          <w:szCs w:val="22"/>
        </w:rPr>
      </w:pPr>
      <w:r w:rsidRPr="00EC46A1">
        <w:rPr>
          <w:rFonts w:ascii="Arial" w:hAnsi="Arial" w:cs="Arial"/>
          <w:i/>
          <w:iCs/>
          <w:sz w:val="22"/>
          <w:szCs w:val="22"/>
        </w:rPr>
        <w:t xml:space="preserve">“La exención del crédito fiscal no conlleva exoneración, para el respectivo sujeto, de las obligaciones tributarias accesorias; presentar declaración, rendir informaciones </w:t>
      </w:r>
      <w:proofErr w:type="gramStart"/>
      <w:r w:rsidRPr="00EC46A1">
        <w:rPr>
          <w:rFonts w:ascii="Arial" w:hAnsi="Arial" w:cs="Arial"/>
          <w:i/>
          <w:iCs/>
          <w:sz w:val="22"/>
          <w:szCs w:val="22"/>
        </w:rPr>
        <w:t>etc..</w:t>
      </w:r>
      <w:proofErr w:type="gramEnd"/>
      <w:r w:rsidRPr="00EC46A1">
        <w:rPr>
          <w:rFonts w:ascii="Arial" w:hAnsi="Arial" w:cs="Arial"/>
          <w:i/>
          <w:iCs/>
          <w:sz w:val="22"/>
          <w:szCs w:val="22"/>
        </w:rPr>
        <w:t xml:space="preserve"> </w:t>
      </w:r>
      <w:r w:rsidRPr="00EC46A1">
        <w:rPr>
          <w:rFonts w:ascii="Arial" w:hAnsi="Arial" w:cs="Arial"/>
          <w:i/>
          <w:iCs/>
          <w:sz w:val="22"/>
          <w:szCs w:val="22"/>
        </w:rPr>
        <w:lastRenderedPageBreak/>
        <w:t>Solo quien no es sujeto pasivo potencial de la prestación fiscal, tampoco lo es de las obligaciones accesorias. Al no existir para él la obligación tributaria principal, ni siquiera de un modo abstracto según la hipótesis general de la ley, mal puede exigírsele el cumplimiento de obligaciones accesorias o derivadas de aquella”.</w:t>
      </w:r>
      <w:r w:rsidRPr="00EC46A1">
        <w:rPr>
          <w:rFonts w:ascii="Arial" w:hAnsi="Arial" w:cs="Arial"/>
          <w:sz w:val="22"/>
          <w:szCs w:val="22"/>
        </w:rPr>
        <w:t xml:space="preserve"> </w:t>
      </w:r>
      <w:r w:rsidRPr="00EC46A1">
        <w:rPr>
          <w:rStyle w:val="Refdenotaalpie"/>
          <w:rFonts w:ascii="Arial" w:hAnsi="Arial" w:cs="Arial"/>
          <w:sz w:val="22"/>
          <w:szCs w:val="22"/>
        </w:rPr>
        <w:footnoteReference w:id="5"/>
      </w:r>
      <w:r w:rsidRPr="00EC46A1">
        <w:rPr>
          <w:rFonts w:ascii="Arial" w:hAnsi="Arial" w:cs="Arial"/>
          <w:sz w:val="22"/>
          <w:szCs w:val="22"/>
        </w:rPr>
        <w:t xml:space="preserve">(Negrilla </w:t>
      </w:r>
      <w:r w:rsidR="00F77F1F">
        <w:rPr>
          <w:rFonts w:ascii="Arial" w:hAnsi="Arial" w:cs="Arial"/>
          <w:sz w:val="22"/>
          <w:szCs w:val="22"/>
        </w:rPr>
        <w:t>y subrayas originales</w:t>
      </w:r>
      <w:r w:rsidRPr="00EC46A1">
        <w:rPr>
          <w:rFonts w:ascii="Arial" w:hAnsi="Arial" w:cs="Arial"/>
          <w:sz w:val="22"/>
          <w:szCs w:val="22"/>
        </w:rPr>
        <w:t>)</w:t>
      </w:r>
    </w:p>
    <w:p w14:paraId="0C929D93" w14:textId="77777777" w:rsidR="00B802F9" w:rsidRDefault="00B802F9" w:rsidP="007F4187">
      <w:pPr>
        <w:pStyle w:val="Textoindependiente3"/>
        <w:ind w:right="-567"/>
        <w:rPr>
          <w:szCs w:val="28"/>
        </w:rPr>
      </w:pPr>
    </w:p>
    <w:p w14:paraId="13D24788" w14:textId="7A57B6D4" w:rsidR="007B41BB" w:rsidRDefault="001A2DC6" w:rsidP="007F4187">
      <w:pPr>
        <w:ind w:right="-567"/>
        <w:jc w:val="both"/>
        <w:rPr>
          <w:rFonts w:ascii="Arial" w:hAnsi="Arial" w:cs="Arial"/>
          <w:sz w:val="24"/>
          <w:szCs w:val="24"/>
        </w:rPr>
      </w:pPr>
      <w:r>
        <w:rPr>
          <w:rFonts w:ascii="Arial" w:hAnsi="Arial" w:cs="Arial"/>
          <w:sz w:val="24"/>
          <w:szCs w:val="24"/>
        </w:rPr>
        <w:t>Se desprende de lo anterior que c</w:t>
      </w:r>
      <w:r w:rsidR="007B41BB">
        <w:rPr>
          <w:rFonts w:ascii="Arial" w:hAnsi="Arial" w:cs="Arial"/>
          <w:sz w:val="24"/>
          <w:szCs w:val="24"/>
        </w:rPr>
        <w:t xml:space="preserve">uando la norma habla de exclusiones </w:t>
      </w:r>
      <w:r w:rsidR="009A2869">
        <w:rPr>
          <w:rFonts w:ascii="Arial" w:hAnsi="Arial" w:cs="Arial"/>
          <w:sz w:val="24"/>
          <w:szCs w:val="24"/>
        </w:rPr>
        <w:t xml:space="preserve">frente a las estampillas </w:t>
      </w:r>
      <w:r w:rsidR="007B41BB">
        <w:rPr>
          <w:rFonts w:ascii="Arial" w:hAnsi="Arial" w:cs="Arial"/>
          <w:sz w:val="24"/>
          <w:szCs w:val="24"/>
        </w:rPr>
        <w:t xml:space="preserve">se refiere a que </w:t>
      </w:r>
      <w:r w:rsidR="009A2869">
        <w:rPr>
          <w:rFonts w:ascii="Arial" w:hAnsi="Arial" w:cs="Arial"/>
          <w:sz w:val="24"/>
          <w:szCs w:val="24"/>
        </w:rPr>
        <w:t>por l</w:t>
      </w:r>
      <w:r w:rsidR="00B1230A">
        <w:rPr>
          <w:rFonts w:ascii="Arial" w:hAnsi="Arial" w:cs="Arial"/>
          <w:sz w:val="24"/>
          <w:szCs w:val="24"/>
        </w:rPr>
        <w:t>a suscripción de los</w:t>
      </w:r>
      <w:r w:rsidR="009A2869">
        <w:rPr>
          <w:rFonts w:ascii="Arial" w:hAnsi="Arial" w:cs="Arial"/>
          <w:sz w:val="24"/>
          <w:szCs w:val="24"/>
        </w:rPr>
        <w:t xml:space="preserve"> contratos</w:t>
      </w:r>
      <w:r w:rsidR="00B1230A">
        <w:rPr>
          <w:rFonts w:ascii="Arial" w:hAnsi="Arial" w:cs="Arial"/>
          <w:sz w:val="24"/>
          <w:szCs w:val="24"/>
        </w:rPr>
        <w:t xml:space="preserve"> indicados en la norma </w:t>
      </w:r>
      <w:r w:rsidR="007B41BB">
        <w:rPr>
          <w:rFonts w:ascii="Arial" w:hAnsi="Arial" w:cs="Arial"/>
          <w:sz w:val="24"/>
          <w:szCs w:val="24"/>
        </w:rPr>
        <w:t xml:space="preserve">no hay lugar al pago de </w:t>
      </w:r>
      <w:r w:rsidR="00B1230A">
        <w:rPr>
          <w:rFonts w:ascii="Arial" w:hAnsi="Arial" w:cs="Arial"/>
          <w:sz w:val="24"/>
          <w:szCs w:val="24"/>
        </w:rPr>
        <w:t>estampillas vía retención</w:t>
      </w:r>
      <w:r w:rsidR="007B41BB">
        <w:rPr>
          <w:rFonts w:ascii="Arial" w:hAnsi="Arial" w:cs="Arial"/>
          <w:sz w:val="24"/>
          <w:szCs w:val="24"/>
        </w:rPr>
        <w:t xml:space="preserve">, por su parte, cuando </w:t>
      </w:r>
      <w:r w:rsidR="00E064B3">
        <w:rPr>
          <w:rFonts w:ascii="Arial" w:hAnsi="Arial" w:cs="Arial"/>
          <w:sz w:val="24"/>
          <w:szCs w:val="24"/>
        </w:rPr>
        <w:t>no</w:t>
      </w:r>
      <w:r w:rsidR="007E7D95">
        <w:rPr>
          <w:rFonts w:ascii="Arial" w:hAnsi="Arial" w:cs="Arial"/>
          <w:sz w:val="24"/>
          <w:szCs w:val="24"/>
        </w:rPr>
        <w:t>s</w:t>
      </w:r>
      <w:r w:rsidR="00E064B3">
        <w:rPr>
          <w:rFonts w:ascii="Arial" w:hAnsi="Arial" w:cs="Arial"/>
          <w:sz w:val="24"/>
          <w:szCs w:val="24"/>
        </w:rPr>
        <w:t xml:space="preserve"> referimos a </w:t>
      </w:r>
      <w:r w:rsidR="007B41BB">
        <w:rPr>
          <w:rFonts w:ascii="Arial" w:hAnsi="Arial" w:cs="Arial"/>
          <w:sz w:val="24"/>
          <w:szCs w:val="24"/>
        </w:rPr>
        <w:t xml:space="preserve">tributos asumidos, significa </w:t>
      </w:r>
      <w:r w:rsidR="008F29EE">
        <w:rPr>
          <w:rFonts w:ascii="Arial" w:hAnsi="Arial" w:cs="Arial"/>
          <w:sz w:val="24"/>
          <w:szCs w:val="24"/>
        </w:rPr>
        <w:t xml:space="preserve">que </w:t>
      </w:r>
      <w:r w:rsidR="006B7D1B">
        <w:rPr>
          <w:rFonts w:ascii="Arial" w:hAnsi="Arial" w:cs="Arial"/>
          <w:sz w:val="24"/>
          <w:szCs w:val="24"/>
        </w:rPr>
        <w:t xml:space="preserve">este es </w:t>
      </w:r>
      <w:r w:rsidR="00E064B3">
        <w:rPr>
          <w:rFonts w:ascii="Arial" w:hAnsi="Arial" w:cs="Arial"/>
          <w:sz w:val="24"/>
          <w:szCs w:val="24"/>
        </w:rPr>
        <w:t>pagado</w:t>
      </w:r>
      <w:r w:rsidR="006B7D1B">
        <w:rPr>
          <w:rFonts w:ascii="Arial" w:hAnsi="Arial" w:cs="Arial"/>
          <w:sz w:val="24"/>
          <w:szCs w:val="24"/>
        </w:rPr>
        <w:t xml:space="preserve"> por un sujeto diferente al sujeto pasivo</w:t>
      </w:r>
      <w:r w:rsidR="00DC54D8">
        <w:rPr>
          <w:rFonts w:ascii="Arial" w:hAnsi="Arial" w:cs="Arial"/>
          <w:sz w:val="24"/>
          <w:szCs w:val="24"/>
        </w:rPr>
        <w:t xml:space="preserve"> del mismo</w:t>
      </w:r>
      <w:r w:rsidR="00AC5A1A">
        <w:rPr>
          <w:rFonts w:ascii="Arial" w:hAnsi="Arial" w:cs="Arial"/>
          <w:sz w:val="24"/>
          <w:szCs w:val="24"/>
        </w:rPr>
        <w:t xml:space="preserve">, bien sea porque así se decide o </w:t>
      </w:r>
      <w:r w:rsidR="00AF5335">
        <w:rPr>
          <w:rFonts w:ascii="Arial" w:hAnsi="Arial" w:cs="Arial"/>
          <w:sz w:val="24"/>
          <w:szCs w:val="24"/>
        </w:rPr>
        <w:t xml:space="preserve">debido a </w:t>
      </w:r>
      <w:r w:rsidR="0097377F">
        <w:rPr>
          <w:rFonts w:ascii="Arial" w:hAnsi="Arial" w:cs="Arial"/>
          <w:sz w:val="24"/>
          <w:szCs w:val="24"/>
        </w:rPr>
        <w:t>que olvida practicarla</w:t>
      </w:r>
      <w:r w:rsidR="006B7D1B">
        <w:rPr>
          <w:rFonts w:ascii="Arial" w:hAnsi="Arial" w:cs="Arial"/>
          <w:sz w:val="24"/>
          <w:szCs w:val="24"/>
        </w:rPr>
        <w:t>.</w:t>
      </w:r>
      <w:r w:rsidR="00DC54D8">
        <w:rPr>
          <w:rFonts w:ascii="Arial" w:hAnsi="Arial" w:cs="Arial"/>
          <w:sz w:val="24"/>
          <w:szCs w:val="24"/>
        </w:rPr>
        <w:t xml:space="preserve">  </w:t>
      </w:r>
      <w:r w:rsidR="0097377F">
        <w:rPr>
          <w:rFonts w:ascii="Arial" w:hAnsi="Arial" w:cs="Arial"/>
          <w:sz w:val="24"/>
          <w:szCs w:val="24"/>
        </w:rPr>
        <w:t>En todo caso, d</w:t>
      </w:r>
      <w:r w:rsidR="00DC54D8">
        <w:rPr>
          <w:rFonts w:ascii="Arial" w:hAnsi="Arial" w:cs="Arial"/>
          <w:sz w:val="24"/>
          <w:szCs w:val="24"/>
        </w:rPr>
        <w:t>icho pago se constituye en un gasto para quien asume dicho tributo.</w:t>
      </w:r>
    </w:p>
    <w:p w14:paraId="16201834" w14:textId="77777777" w:rsidR="004F65C5" w:rsidRDefault="004F65C5" w:rsidP="007F4187">
      <w:pPr>
        <w:ind w:right="-567"/>
        <w:jc w:val="both"/>
        <w:rPr>
          <w:rFonts w:ascii="Arial" w:hAnsi="Arial" w:cs="Arial"/>
          <w:b/>
          <w:bCs/>
          <w:sz w:val="24"/>
          <w:szCs w:val="24"/>
        </w:rPr>
      </w:pPr>
    </w:p>
    <w:p w14:paraId="543A4090" w14:textId="27A8E9DA" w:rsidR="00460EA1" w:rsidRPr="00141870" w:rsidRDefault="00460EA1" w:rsidP="007F4187">
      <w:pPr>
        <w:ind w:right="-567"/>
        <w:jc w:val="both"/>
        <w:rPr>
          <w:rFonts w:ascii="Arial" w:hAnsi="Arial" w:cs="Arial"/>
          <w:b/>
          <w:bCs/>
          <w:sz w:val="24"/>
          <w:szCs w:val="24"/>
        </w:rPr>
      </w:pPr>
      <w:r w:rsidRPr="00141870">
        <w:rPr>
          <w:rFonts w:ascii="Arial" w:hAnsi="Arial" w:cs="Arial"/>
          <w:b/>
          <w:bCs/>
          <w:sz w:val="24"/>
          <w:szCs w:val="24"/>
        </w:rPr>
        <w:t>CONCLUSIONES</w:t>
      </w:r>
    </w:p>
    <w:p w14:paraId="25B0DB82" w14:textId="5C9CC461" w:rsidR="00460EA1" w:rsidRDefault="00460EA1" w:rsidP="007F4187">
      <w:pPr>
        <w:ind w:right="-567"/>
        <w:jc w:val="both"/>
        <w:rPr>
          <w:rFonts w:ascii="Arial" w:hAnsi="Arial" w:cs="Arial"/>
          <w:sz w:val="24"/>
          <w:szCs w:val="24"/>
        </w:rPr>
      </w:pPr>
    </w:p>
    <w:p w14:paraId="569B6C31" w14:textId="4356D7CC" w:rsidR="00AB5698" w:rsidRPr="00230920" w:rsidRDefault="00AB5698" w:rsidP="007F4187">
      <w:pPr>
        <w:numPr>
          <w:ilvl w:val="0"/>
          <w:numId w:val="7"/>
        </w:numPr>
        <w:ind w:left="0" w:right="-567" w:firstLine="0"/>
        <w:jc w:val="both"/>
        <w:rPr>
          <w:rFonts w:ascii="Arial" w:hAnsi="Arial" w:cs="Arial"/>
          <w:b/>
          <w:sz w:val="24"/>
          <w:szCs w:val="24"/>
          <w:lang w:val="es-ES"/>
        </w:rPr>
      </w:pPr>
      <w:r w:rsidRPr="00230920">
        <w:rPr>
          <w:rFonts w:ascii="Arial" w:hAnsi="Arial" w:cs="Arial"/>
          <w:b/>
          <w:sz w:val="24"/>
          <w:szCs w:val="24"/>
          <w:lang w:val="es-ES"/>
        </w:rPr>
        <w:t xml:space="preserve">Que tratamiento se le deben dar a las retenciones por Estampillas en la realización de compras de bienes y/o servicios a proveedores en el exterior? Es </w:t>
      </w:r>
      <w:r w:rsidR="00A155F0" w:rsidRPr="00230920">
        <w:rPr>
          <w:rFonts w:ascii="Arial" w:hAnsi="Arial" w:cs="Arial"/>
          <w:b/>
          <w:sz w:val="24"/>
          <w:szCs w:val="24"/>
          <w:lang w:val="es-ES"/>
        </w:rPr>
        <w:t>decir,</w:t>
      </w:r>
      <w:r w:rsidRPr="00230920">
        <w:rPr>
          <w:rFonts w:ascii="Arial" w:hAnsi="Arial" w:cs="Arial"/>
          <w:b/>
          <w:sz w:val="24"/>
          <w:szCs w:val="24"/>
          <w:lang w:val="es-ES"/>
        </w:rPr>
        <w:t xml:space="preserve"> si esta retención es asumida por la SHD o si no se le </w:t>
      </w:r>
      <w:r w:rsidR="00A155F0" w:rsidRPr="00230920">
        <w:rPr>
          <w:rFonts w:ascii="Arial" w:hAnsi="Arial" w:cs="Arial"/>
          <w:b/>
          <w:sz w:val="24"/>
          <w:szCs w:val="24"/>
          <w:lang w:val="es-ES"/>
        </w:rPr>
        <w:t>práctica</w:t>
      </w:r>
      <w:r w:rsidRPr="00230920">
        <w:rPr>
          <w:rFonts w:ascii="Arial" w:hAnsi="Arial" w:cs="Arial"/>
          <w:b/>
          <w:sz w:val="24"/>
          <w:szCs w:val="24"/>
          <w:lang w:val="es-ES"/>
        </w:rPr>
        <w:t>.</w:t>
      </w:r>
    </w:p>
    <w:p w14:paraId="15463271" w14:textId="4069FBB0" w:rsidR="00AB5698" w:rsidRPr="00230920" w:rsidRDefault="00AB5698" w:rsidP="007F4187">
      <w:pPr>
        <w:ind w:right="-567"/>
        <w:jc w:val="both"/>
        <w:rPr>
          <w:rFonts w:ascii="Arial" w:hAnsi="Arial" w:cs="Arial"/>
          <w:b/>
          <w:sz w:val="24"/>
          <w:szCs w:val="24"/>
          <w:lang w:val="es-ES"/>
        </w:rPr>
      </w:pPr>
    </w:p>
    <w:p w14:paraId="41D76A13" w14:textId="39EE87CE" w:rsidR="003E492A" w:rsidRDefault="00AB5698" w:rsidP="007F4187">
      <w:pPr>
        <w:ind w:right="-567"/>
        <w:jc w:val="both"/>
        <w:rPr>
          <w:rFonts w:ascii="Arial" w:hAnsi="Arial" w:cs="Arial"/>
          <w:sz w:val="24"/>
          <w:szCs w:val="24"/>
        </w:rPr>
      </w:pPr>
      <w:r>
        <w:rPr>
          <w:rFonts w:ascii="Arial" w:hAnsi="Arial" w:cs="Arial"/>
          <w:sz w:val="24"/>
          <w:szCs w:val="24"/>
          <w:lang w:val="es-ES"/>
        </w:rPr>
        <w:t xml:space="preserve">De </w:t>
      </w:r>
      <w:r w:rsidR="00561A66">
        <w:rPr>
          <w:rFonts w:ascii="Arial" w:hAnsi="Arial" w:cs="Arial"/>
          <w:sz w:val="24"/>
          <w:szCs w:val="24"/>
          <w:lang w:val="es-ES"/>
        </w:rPr>
        <w:t xml:space="preserve">conformidad con </w:t>
      </w:r>
      <w:r>
        <w:rPr>
          <w:rFonts w:ascii="Arial" w:hAnsi="Arial" w:cs="Arial"/>
          <w:sz w:val="24"/>
          <w:szCs w:val="24"/>
          <w:lang w:val="es-ES"/>
        </w:rPr>
        <w:t xml:space="preserve">lo anteriormente expuesto </w:t>
      </w:r>
      <w:r w:rsidR="00647CFC">
        <w:rPr>
          <w:rFonts w:ascii="Arial" w:hAnsi="Arial" w:cs="Arial"/>
          <w:sz w:val="24"/>
          <w:szCs w:val="24"/>
          <w:lang w:val="es-ES"/>
        </w:rPr>
        <w:t xml:space="preserve">se tiene que dentro de las exclusiones para el pago de las estampillas no se encuentran los contratos de compra de bienes y/o servicios </w:t>
      </w:r>
      <w:r w:rsidR="00CE58C5">
        <w:rPr>
          <w:rFonts w:ascii="Arial" w:hAnsi="Arial" w:cs="Arial"/>
          <w:sz w:val="24"/>
          <w:szCs w:val="24"/>
          <w:lang w:val="es-ES"/>
        </w:rPr>
        <w:t>con proveedores en el exterior, lo que significa que a estos proveedores se les deben</w:t>
      </w:r>
      <w:r w:rsidR="003E492A">
        <w:rPr>
          <w:rFonts w:ascii="Arial" w:hAnsi="Arial" w:cs="Arial"/>
          <w:sz w:val="24"/>
          <w:szCs w:val="24"/>
          <w:lang w:val="es-ES"/>
        </w:rPr>
        <w:t xml:space="preserve"> </w:t>
      </w:r>
      <w:r w:rsidR="003E492A">
        <w:rPr>
          <w:rFonts w:ascii="Arial" w:hAnsi="Arial" w:cs="Arial"/>
          <w:sz w:val="24"/>
          <w:szCs w:val="24"/>
        </w:rPr>
        <w:t>cobr</w:t>
      </w:r>
      <w:r w:rsidR="00516C43">
        <w:rPr>
          <w:rFonts w:ascii="Arial" w:hAnsi="Arial" w:cs="Arial"/>
          <w:sz w:val="24"/>
          <w:szCs w:val="24"/>
        </w:rPr>
        <w:t xml:space="preserve">ar las estampillas </w:t>
      </w:r>
      <w:r w:rsidR="003E492A">
        <w:rPr>
          <w:rFonts w:ascii="Arial" w:hAnsi="Arial" w:cs="Arial"/>
          <w:sz w:val="24"/>
          <w:szCs w:val="24"/>
        </w:rPr>
        <w:t>media</w:t>
      </w:r>
      <w:r w:rsidR="007F68AC">
        <w:rPr>
          <w:rFonts w:ascii="Arial" w:hAnsi="Arial" w:cs="Arial"/>
          <w:sz w:val="24"/>
          <w:szCs w:val="24"/>
        </w:rPr>
        <w:t>n</w:t>
      </w:r>
      <w:r w:rsidR="003E492A">
        <w:rPr>
          <w:rFonts w:ascii="Arial" w:hAnsi="Arial" w:cs="Arial"/>
          <w:sz w:val="24"/>
          <w:szCs w:val="24"/>
        </w:rPr>
        <w:t xml:space="preserve">te el respectivo descuento </w:t>
      </w:r>
      <w:r w:rsidR="004F65C5">
        <w:rPr>
          <w:rFonts w:ascii="Arial" w:hAnsi="Arial" w:cs="Arial"/>
          <w:sz w:val="24"/>
          <w:szCs w:val="24"/>
        </w:rPr>
        <w:t xml:space="preserve">y retención </w:t>
      </w:r>
      <w:r w:rsidR="003E492A">
        <w:rPr>
          <w:rFonts w:ascii="Arial" w:hAnsi="Arial" w:cs="Arial"/>
          <w:sz w:val="24"/>
          <w:szCs w:val="24"/>
        </w:rPr>
        <w:t>en los pagos correspondientes.</w:t>
      </w:r>
    </w:p>
    <w:p w14:paraId="2460124A" w14:textId="559130D7" w:rsidR="00C54EA5" w:rsidRDefault="00C54EA5" w:rsidP="007F4187">
      <w:pPr>
        <w:ind w:right="-567"/>
        <w:jc w:val="both"/>
        <w:rPr>
          <w:rFonts w:ascii="Arial" w:hAnsi="Arial" w:cs="Arial"/>
          <w:sz w:val="24"/>
          <w:szCs w:val="24"/>
        </w:rPr>
      </w:pPr>
    </w:p>
    <w:p w14:paraId="504FDFD2" w14:textId="75E329AC" w:rsidR="009E5E8A" w:rsidRPr="00A155F0" w:rsidRDefault="009E5E8A" w:rsidP="007F4187">
      <w:pPr>
        <w:numPr>
          <w:ilvl w:val="0"/>
          <w:numId w:val="7"/>
        </w:numPr>
        <w:ind w:left="0" w:right="-567" w:firstLine="0"/>
        <w:jc w:val="both"/>
        <w:rPr>
          <w:rFonts w:ascii="Arial" w:hAnsi="Arial" w:cs="Arial"/>
          <w:b/>
          <w:sz w:val="24"/>
          <w:szCs w:val="24"/>
          <w:lang w:val="es-ES"/>
        </w:rPr>
      </w:pPr>
      <w:r w:rsidRPr="009E5E8A">
        <w:rPr>
          <w:rFonts w:ascii="Arial" w:hAnsi="Arial" w:cs="Arial"/>
          <w:bCs/>
          <w:sz w:val="24"/>
          <w:szCs w:val="24"/>
          <w:lang w:val="es-ES"/>
        </w:rPr>
        <w:t>¿</w:t>
      </w:r>
      <w:r w:rsidRPr="00A155F0">
        <w:rPr>
          <w:rFonts w:ascii="Arial" w:hAnsi="Arial" w:cs="Arial"/>
          <w:b/>
          <w:sz w:val="24"/>
          <w:szCs w:val="24"/>
          <w:lang w:val="es-ES"/>
        </w:rPr>
        <w:t xml:space="preserve">En el caso de que el proveedor sea una entidad estatal o del orden público y las retenciones por Estampillas deben asumidas(sic) por la SHD, </w:t>
      </w:r>
      <w:r w:rsidR="00230920" w:rsidRPr="00A155F0">
        <w:rPr>
          <w:rFonts w:ascii="Arial" w:hAnsi="Arial" w:cs="Arial"/>
          <w:b/>
          <w:sz w:val="24"/>
          <w:szCs w:val="24"/>
          <w:lang w:val="es-ES"/>
        </w:rPr>
        <w:t>cuál</w:t>
      </w:r>
      <w:r w:rsidRPr="00A155F0">
        <w:rPr>
          <w:rFonts w:ascii="Arial" w:hAnsi="Arial" w:cs="Arial"/>
          <w:b/>
          <w:sz w:val="24"/>
          <w:szCs w:val="24"/>
          <w:lang w:val="es-ES"/>
        </w:rPr>
        <w:t xml:space="preserve"> sería la dinámica contable?</w:t>
      </w:r>
    </w:p>
    <w:p w14:paraId="2CAB8220" w14:textId="55CDA87C" w:rsidR="009E5E8A" w:rsidRDefault="009E5E8A" w:rsidP="007F4187">
      <w:pPr>
        <w:ind w:right="-567"/>
        <w:jc w:val="both"/>
        <w:rPr>
          <w:rFonts w:ascii="Arial" w:hAnsi="Arial" w:cs="Arial"/>
          <w:sz w:val="24"/>
          <w:szCs w:val="24"/>
          <w:lang w:val="es-ES"/>
        </w:rPr>
      </w:pPr>
    </w:p>
    <w:p w14:paraId="6F09DE20" w14:textId="5E29D670" w:rsidR="003940A6" w:rsidRDefault="00527321" w:rsidP="007F4187">
      <w:pPr>
        <w:ind w:right="-567"/>
        <w:jc w:val="both"/>
        <w:rPr>
          <w:rFonts w:ascii="Arial" w:hAnsi="Arial" w:cs="Arial"/>
          <w:sz w:val="24"/>
          <w:szCs w:val="24"/>
          <w:lang w:val="es-ES"/>
        </w:rPr>
      </w:pPr>
      <w:r>
        <w:rPr>
          <w:rFonts w:ascii="Arial" w:hAnsi="Arial" w:cs="Arial"/>
          <w:sz w:val="24"/>
          <w:szCs w:val="24"/>
          <w:lang w:val="es-ES"/>
        </w:rPr>
        <w:t>De conformidad con lo indicado en la parte considerativa, en el caso que los contratos sean celebrados con una entidad estatal</w:t>
      </w:r>
      <w:r w:rsidR="003606FC">
        <w:rPr>
          <w:rFonts w:ascii="Arial" w:hAnsi="Arial" w:cs="Arial"/>
          <w:sz w:val="24"/>
          <w:szCs w:val="24"/>
          <w:lang w:val="es-ES"/>
        </w:rPr>
        <w:t xml:space="preserve"> o del orden público</w:t>
      </w:r>
      <w:r w:rsidR="00DE138D">
        <w:rPr>
          <w:rFonts w:ascii="Arial" w:hAnsi="Arial" w:cs="Arial"/>
          <w:sz w:val="24"/>
          <w:szCs w:val="24"/>
          <w:lang w:val="es-ES"/>
        </w:rPr>
        <w:t xml:space="preserve">, estos no </w:t>
      </w:r>
      <w:r w:rsidR="004F65C5">
        <w:rPr>
          <w:rFonts w:ascii="Arial" w:hAnsi="Arial" w:cs="Arial"/>
          <w:sz w:val="24"/>
          <w:szCs w:val="24"/>
          <w:lang w:val="es-ES"/>
        </w:rPr>
        <w:t xml:space="preserve">son hechos gravables de estampilla Pro – Cultura y Bienestar del Adulto Mayor y, en consecuencia, no </w:t>
      </w:r>
      <w:r w:rsidR="00DE138D">
        <w:rPr>
          <w:rFonts w:ascii="Arial" w:hAnsi="Arial" w:cs="Arial"/>
          <w:sz w:val="24"/>
          <w:szCs w:val="24"/>
          <w:lang w:val="es-ES"/>
        </w:rPr>
        <w:t>están sujetos</w:t>
      </w:r>
      <w:r w:rsidR="003E1932">
        <w:rPr>
          <w:rFonts w:ascii="Arial" w:hAnsi="Arial" w:cs="Arial"/>
          <w:sz w:val="24"/>
          <w:szCs w:val="24"/>
          <w:lang w:val="es-ES"/>
        </w:rPr>
        <w:t xml:space="preserve"> al pago </w:t>
      </w:r>
      <w:r w:rsidR="004F65C5">
        <w:rPr>
          <w:rFonts w:ascii="Arial" w:hAnsi="Arial" w:cs="Arial"/>
          <w:sz w:val="24"/>
          <w:szCs w:val="24"/>
          <w:lang w:val="es-ES"/>
        </w:rPr>
        <w:t>ni es necesario que nadie la asuma</w:t>
      </w:r>
      <w:r w:rsidR="00A10AFC">
        <w:rPr>
          <w:rFonts w:ascii="Arial" w:hAnsi="Arial" w:cs="Arial"/>
          <w:sz w:val="24"/>
          <w:szCs w:val="24"/>
          <w:lang w:val="es-ES"/>
        </w:rPr>
        <w:t xml:space="preserve">.  </w:t>
      </w:r>
    </w:p>
    <w:p w14:paraId="25331969" w14:textId="77777777" w:rsidR="003940A6" w:rsidRDefault="003940A6" w:rsidP="007F4187">
      <w:pPr>
        <w:ind w:right="-567"/>
        <w:jc w:val="both"/>
        <w:rPr>
          <w:rFonts w:ascii="Arial" w:hAnsi="Arial" w:cs="Arial"/>
          <w:sz w:val="24"/>
          <w:szCs w:val="24"/>
          <w:lang w:val="es-ES"/>
        </w:rPr>
      </w:pPr>
    </w:p>
    <w:p w14:paraId="4DC57024" w14:textId="4D111C67" w:rsidR="009E5E8A" w:rsidRPr="009E5E8A" w:rsidRDefault="003940A6" w:rsidP="007F4187">
      <w:pPr>
        <w:ind w:right="-567"/>
        <w:jc w:val="both"/>
        <w:rPr>
          <w:rFonts w:ascii="Arial" w:hAnsi="Arial" w:cs="Arial"/>
          <w:sz w:val="24"/>
          <w:szCs w:val="24"/>
          <w:lang w:val="es-ES"/>
        </w:rPr>
      </w:pPr>
      <w:r>
        <w:rPr>
          <w:rFonts w:ascii="Arial" w:hAnsi="Arial" w:cs="Arial"/>
          <w:sz w:val="24"/>
          <w:szCs w:val="24"/>
          <w:lang w:val="es-ES"/>
        </w:rPr>
        <w:t>En</w:t>
      </w:r>
      <w:r w:rsidR="00F362E6">
        <w:rPr>
          <w:rFonts w:ascii="Arial" w:hAnsi="Arial" w:cs="Arial"/>
          <w:sz w:val="24"/>
          <w:szCs w:val="24"/>
          <w:lang w:val="es-ES"/>
        </w:rPr>
        <w:t xml:space="preserve"> lo atinente a la estampilla Universidad Distrital</w:t>
      </w:r>
      <w:r w:rsidR="0021197E">
        <w:rPr>
          <w:rFonts w:ascii="Arial" w:hAnsi="Arial" w:cs="Arial"/>
          <w:sz w:val="24"/>
          <w:szCs w:val="24"/>
          <w:lang w:val="es-ES"/>
        </w:rPr>
        <w:t xml:space="preserve"> y</w:t>
      </w:r>
      <w:r w:rsidR="003F03C3">
        <w:rPr>
          <w:rFonts w:ascii="Arial" w:hAnsi="Arial" w:cs="Arial"/>
          <w:sz w:val="24"/>
          <w:szCs w:val="24"/>
          <w:lang w:val="es-ES"/>
        </w:rPr>
        <w:t xml:space="preserve"> Universidad Pedagógica </w:t>
      </w:r>
      <w:r w:rsidR="00BF4856">
        <w:rPr>
          <w:rFonts w:ascii="Arial" w:hAnsi="Arial" w:cs="Arial"/>
          <w:sz w:val="24"/>
          <w:szCs w:val="24"/>
          <w:lang w:val="es-ES"/>
        </w:rPr>
        <w:t xml:space="preserve">no contemplan la </w:t>
      </w:r>
      <w:r w:rsidR="003606FC">
        <w:rPr>
          <w:rFonts w:ascii="Arial" w:hAnsi="Arial" w:cs="Arial"/>
          <w:sz w:val="24"/>
          <w:szCs w:val="24"/>
          <w:lang w:val="es-ES"/>
        </w:rPr>
        <w:t xml:space="preserve">mencionada </w:t>
      </w:r>
      <w:r w:rsidR="00BF4856">
        <w:rPr>
          <w:rFonts w:ascii="Arial" w:hAnsi="Arial" w:cs="Arial"/>
          <w:sz w:val="24"/>
          <w:szCs w:val="24"/>
          <w:lang w:val="es-ES"/>
        </w:rPr>
        <w:t>exclusión</w:t>
      </w:r>
      <w:r w:rsidR="003606FC">
        <w:rPr>
          <w:rFonts w:ascii="Arial" w:hAnsi="Arial" w:cs="Arial"/>
          <w:sz w:val="24"/>
          <w:szCs w:val="24"/>
          <w:lang w:val="es-ES"/>
        </w:rPr>
        <w:t xml:space="preserve"> y en tal sentido hay lugar a exigir el pago de </w:t>
      </w:r>
      <w:r w:rsidR="007F4187">
        <w:rPr>
          <w:rFonts w:ascii="Arial" w:hAnsi="Arial" w:cs="Arial"/>
          <w:sz w:val="24"/>
          <w:szCs w:val="24"/>
          <w:lang w:val="es-ES"/>
        </w:rPr>
        <w:t xml:space="preserve">estas dos </w:t>
      </w:r>
      <w:r w:rsidR="003010A5">
        <w:rPr>
          <w:rFonts w:ascii="Arial" w:hAnsi="Arial" w:cs="Arial"/>
          <w:sz w:val="24"/>
          <w:szCs w:val="24"/>
          <w:lang w:val="es-ES"/>
        </w:rPr>
        <w:t>estampillas.</w:t>
      </w:r>
      <w:r w:rsidR="00B57CF3">
        <w:rPr>
          <w:rFonts w:ascii="Arial" w:hAnsi="Arial" w:cs="Arial"/>
          <w:sz w:val="24"/>
          <w:szCs w:val="24"/>
          <w:lang w:val="es-ES"/>
        </w:rPr>
        <w:t xml:space="preserve">  En caso de que se insista en asumir las estampillas, esto es, a pagarlas en lugar de los sujetos pasivos de las mismas, </w:t>
      </w:r>
      <w:r w:rsidR="0005138B">
        <w:rPr>
          <w:rFonts w:ascii="Arial" w:hAnsi="Arial" w:cs="Arial"/>
          <w:sz w:val="24"/>
          <w:szCs w:val="24"/>
          <w:lang w:val="es-ES"/>
        </w:rPr>
        <w:t xml:space="preserve">este </w:t>
      </w:r>
      <w:r w:rsidR="007F4187">
        <w:rPr>
          <w:rFonts w:ascii="Arial" w:hAnsi="Arial" w:cs="Arial"/>
          <w:sz w:val="24"/>
          <w:szCs w:val="24"/>
          <w:lang w:val="es-ES"/>
        </w:rPr>
        <w:t xml:space="preserve">debe ser registrado como un valor mayor del </w:t>
      </w:r>
      <w:r w:rsidR="0005138B">
        <w:rPr>
          <w:rFonts w:ascii="Arial" w:hAnsi="Arial" w:cs="Arial"/>
          <w:sz w:val="24"/>
          <w:szCs w:val="24"/>
          <w:lang w:val="es-ES"/>
        </w:rPr>
        <w:t xml:space="preserve">gasto.  Respecto a la </w:t>
      </w:r>
      <w:r w:rsidR="00201D4E">
        <w:rPr>
          <w:rFonts w:ascii="Arial" w:hAnsi="Arial" w:cs="Arial"/>
          <w:sz w:val="24"/>
          <w:szCs w:val="24"/>
          <w:lang w:val="es-ES"/>
        </w:rPr>
        <w:t>dinámica contable de las estampillas asumidas, e</w:t>
      </w:r>
      <w:r w:rsidR="009E5E8A">
        <w:rPr>
          <w:rFonts w:ascii="Arial" w:hAnsi="Arial" w:cs="Arial"/>
          <w:sz w:val="24"/>
          <w:szCs w:val="24"/>
          <w:lang w:val="es-ES"/>
        </w:rPr>
        <w:t xml:space="preserve">sta </w:t>
      </w:r>
      <w:r w:rsidR="001A15B4">
        <w:rPr>
          <w:rFonts w:ascii="Arial" w:hAnsi="Arial" w:cs="Arial"/>
          <w:sz w:val="24"/>
          <w:szCs w:val="24"/>
          <w:lang w:val="es-ES"/>
        </w:rPr>
        <w:t>inquietud</w:t>
      </w:r>
      <w:r w:rsidR="009E5E8A">
        <w:rPr>
          <w:rFonts w:ascii="Arial" w:hAnsi="Arial" w:cs="Arial"/>
          <w:sz w:val="24"/>
          <w:szCs w:val="24"/>
          <w:lang w:val="es-ES"/>
        </w:rPr>
        <w:t xml:space="preserve"> será traslada a la Dirección Distrital de Contabilidad quien </w:t>
      </w:r>
      <w:r w:rsidR="009E5E8A">
        <w:rPr>
          <w:rFonts w:ascii="Arial" w:hAnsi="Arial" w:cs="Arial"/>
          <w:sz w:val="24"/>
          <w:szCs w:val="24"/>
          <w:lang w:val="es-ES"/>
        </w:rPr>
        <w:lastRenderedPageBreak/>
        <w:t xml:space="preserve">tiene la competencia para definir </w:t>
      </w:r>
      <w:r w:rsidR="001A15B4">
        <w:rPr>
          <w:rFonts w:ascii="Arial" w:hAnsi="Arial" w:cs="Arial"/>
          <w:sz w:val="24"/>
          <w:szCs w:val="24"/>
          <w:lang w:val="es-ES"/>
        </w:rPr>
        <w:t>el procedimiento contable que se debe dar al respecto.</w:t>
      </w:r>
    </w:p>
    <w:p w14:paraId="39DA6141" w14:textId="60AB0A00" w:rsidR="009E5E8A" w:rsidRDefault="009E5E8A" w:rsidP="007F4187">
      <w:pPr>
        <w:ind w:right="-567"/>
        <w:jc w:val="both"/>
        <w:rPr>
          <w:rFonts w:ascii="Arial" w:hAnsi="Arial" w:cs="Arial"/>
          <w:sz w:val="24"/>
          <w:szCs w:val="24"/>
          <w:lang w:val="es-ES"/>
        </w:rPr>
      </w:pPr>
    </w:p>
    <w:p w14:paraId="7EE7DD28" w14:textId="77777777" w:rsidR="00230920" w:rsidRPr="00406833" w:rsidRDefault="00230920" w:rsidP="007F4187">
      <w:pPr>
        <w:shd w:val="clear" w:color="auto" w:fill="FFFFFF"/>
        <w:ind w:right="-567"/>
        <w:jc w:val="both"/>
        <w:rPr>
          <w:rFonts w:ascii="Arial" w:hAnsi="Arial" w:cs="Arial"/>
          <w:sz w:val="24"/>
          <w:szCs w:val="24"/>
          <w:lang w:eastAsia="es-CO"/>
        </w:rPr>
      </w:pPr>
      <w:r w:rsidRPr="004625EF">
        <w:rPr>
          <w:rFonts w:ascii="Arial" w:hAnsi="Arial" w:cs="Arial"/>
          <w:sz w:val="24"/>
          <w:szCs w:val="24"/>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w:t>
      </w:r>
      <w:r w:rsidRPr="00406833">
        <w:rPr>
          <w:rFonts w:ascii="Arial" w:hAnsi="Arial" w:cs="Arial"/>
          <w:sz w:val="24"/>
          <w:szCs w:val="24"/>
          <w:lang w:eastAsia="es-CO"/>
        </w:rPr>
        <w:t>De no ser así, por favor informe de manera inmediata a la Dirección Jurídica.</w:t>
      </w:r>
    </w:p>
    <w:p w14:paraId="1CAB9E62" w14:textId="77777777" w:rsidR="00230920" w:rsidRPr="00EC46A1" w:rsidRDefault="00230920" w:rsidP="007F4187">
      <w:pPr>
        <w:ind w:right="-567"/>
        <w:jc w:val="both"/>
        <w:rPr>
          <w:rFonts w:ascii="Arial" w:hAnsi="Arial" w:cs="Arial"/>
          <w:sz w:val="24"/>
          <w:szCs w:val="24"/>
          <w:lang w:val="es-ES"/>
        </w:rPr>
      </w:pPr>
    </w:p>
    <w:p w14:paraId="171F56DE" w14:textId="77777777" w:rsidR="00460EA1" w:rsidRPr="00141870" w:rsidRDefault="00460EA1" w:rsidP="007F4187">
      <w:pPr>
        <w:ind w:right="-567"/>
        <w:jc w:val="both"/>
        <w:rPr>
          <w:rFonts w:ascii="Arial" w:hAnsi="Arial" w:cs="Arial"/>
          <w:sz w:val="24"/>
          <w:szCs w:val="24"/>
        </w:rPr>
      </w:pPr>
      <w:r w:rsidRPr="00141870">
        <w:rPr>
          <w:rFonts w:ascii="Arial" w:hAnsi="Arial" w:cs="Arial"/>
          <w:sz w:val="24"/>
          <w:szCs w:val="24"/>
        </w:rPr>
        <w:t xml:space="preserve">Cordialmente, </w:t>
      </w:r>
    </w:p>
    <w:p w14:paraId="28542F75" w14:textId="77777777" w:rsidR="00460EA1" w:rsidRPr="00141870" w:rsidRDefault="00460EA1" w:rsidP="007F4187">
      <w:pPr>
        <w:ind w:right="-567"/>
        <w:jc w:val="both"/>
        <w:rPr>
          <w:rFonts w:ascii="Arial" w:hAnsi="Arial" w:cs="Arial"/>
          <w:sz w:val="24"/>
          <w:szCs w:val="24"/>
        </w:rPr>
      </w:pPr>
    </w:p>
    <w:p w14:paraId="40AD66CF" w14:textId="5F13D72D" w:rsidR="00460EA1" w:rsidRDefault="00460EA1" w:rsidP="007F4187">
      <w:pPr>
        <w:ind w:right="-567"/>
        <w:jc w:val="both"/>
        <w:rPr>
          <w:rFonts w:ascii="Arial" w:hAnsi="Arial" w:cs="Arial"/>
          <w:sz w:val="24"/>
          <w:szCs w:val="24"/>
        </w:rPr>
      </w:pPr>
    </w:p>
    <w:p w14:paraId="1732C7A5" w14:textId="1221C6CE" w:rsidR="001A15B4" w:rsidRDefault="001A15B4" w:rsidP="007F4187">
      <w:pPr>
        <w:ind w:right="-567"/>
        <w:jc w:val="both"/>
        <w:rPr>
          <w:rFonts w:ascii="Arial" w:hAnsi="Arial" w:cs="Arial"/>
          <w:sz w:val="24"/>
          <w:szCs w:val="24"/>
        </w:rPr>
      </w:pPr>
    </w:p>
    <w:p w14:paraId="34D499B7" w14:textId="5B19C2E4" w:rsidR="001A15B4" w:rsidRDefault="001A15B4" w:rsidP="007F4187">
      <w:pPr>
        <w:ind w:right="-567"/>
        <w:jc w:val="both"/>
        <w:rPr>
          <w:rFonts w:ascii="Arial" w:hAnsi="Arial" w:cs="Arial"/>
          <w:sz w:val="24"/>
          <w:szCs w:val="24"/>
        </w:rPr>
      </w:pPr>
    </w:p>
    <w:p w14:paraId="065694A0" w14:textId="77777777" w:rsidR="001A15B4" w:rsidRPr="00141870" w:rsidRDefault="001A15B4" w:rsidP="007F4187">
      <w:pPr>
        <w:ind w:right="-567"/>
        <w:jc w:val="both"/>
        <w:rPr>
          <w:rFonts w:ascii="Arial" w:hAnsi="Arial" w:cs="Arial"/>
          <w:sz w:val="24"/>
          <w:szCs w:val="24"/>
        </w:rPr>
      </w:pPr>
    </w:p>
    <w:p w14:paraId="60F3682D" w14:textId="77777777" w:rsidR="00460EA1" w:rsidRPr="00141870" w:rsidRDefault="00460EA1" w:rsidP="007F4187">
      <w:pPr>
        <w:ind w:right="-567"/>
        <w:jc w:val="both"/>
        <w:rPr>
          <w:rFonts w:ascii="Arial" w:hAnsi="Arial" w:cs="Arial"/>
          <w:sz w:val="24"/>
          <w:szCs w:val="24"/>
        </w:rPr>
      </w:pPr>
    </w:p>
    <w:p w14:paraId="74F07EFB" w14:textId="05010F75" w:rsidR="00460EA1" w:rsidRPr="00141870" w:rsidRDefault="003678C0" w:rsidP="007F4187">
      <w:pPr>
        <w:ind w:right="-567"/>
        <w:jc w:val="both"/>
        <w:rPr>
          <w:rFonts w:ascii="Arial" w:hAnsi="Arial" w:cs="Arial"/>
          <w:b/>
          <w:sz w:val="24"/>
          <w:szCs w:val="24"/>
        </w:rPr>
      </w:pPr>
      <w:r>
        <w:rPr>
          <w:rFonts w:ascii="Arial" w:hAnsi="Arial" w:cs="Arial"/>
          <w:b/>
          <w:sz w:val="24"/>
          <w:szCs w:val="24"/>
        </w:rPr>
        <w:t>LE</w:t>
      </w:r>
      <w:r w:rsidR="00B00E7B">
        <w:rPr>
          <w:rFonts w:ascii="Arial" w:hAnsi="Arial" w:cs="Arial"/>
          <w:b/>
          <w:sz w:val="24"/>
          <w:szCs w:val="24"/>
        </w:rPr>
        <w:t>ONARDO PAZOS GALINDO</w:t>
      </w:r>
    </w:p>
    <w:p w14:paraId="49444DF5" w14:textId="14BABF64" w:rsidR="00460EA1" w:rsidRPr="00141870" w:rsidRDefault="00460EA1" w:rsidP="007F4187">
      <w:pPr>
        <w:ind w:right="-567"/>
        <w:jc w:val="both"/>
        <w:rPr>
          <w:rFonts w:ascii="Arial" w:hAnsi="Arial" w:cs="Arial"/>
          <w:sz w:val="24"/>
          <w:szCs w:val="24"/>
        </w:rPr>
      </w:pPr>
      <w:r w:rsidRPr="00141870">
        <w:rPr>
          <w:rFonts w:ascii="Arial" w:hAnsi="Arial" w:cs="Arial"/>
          <w:sz w:val="24"/>
          <w:szCs w:val="24"/>
        </w:rPr>
        <w:t xml:space="preserve">Director Jurídico </w:t>
      </w:r>
    </w:p>
    <w:p w14:paraId="5C6F83B3" w14:textId="0289C53B" w:rsidR="00460EA1" w:rsidRDefault="00017E0A" w:rsidP="007F4187">
      <w:pPr>
        <w:ind w:right="-567"/>
        <w:jc w:val="both"/>
        <w:rPr>
          <w:rFonts w:ascii="Arial" w:hAnsi="Arial" w:cs="Arial"/>
          <w:sz w:val="24"/>
          <w:szCs w:val="24"/>
        </w:rPr>
      </w:pPr>
      <w:hyperlink r:id="rId11" w:history="1">
        <w:r w:rsidR="00B00E7B" w:rsidRPr="004C3041">
          <w:rPr>
            <w:rStyle w:val="Hipervnculo"/>
            <w:rFonts w:ascii="Arial" w:hAnsi="Arial" w:cs="Arial"/>
            <w:sz w:val="24"/>
            <w:szCs w:val="24"/>
          </w:rPr>
          <w:t>lpazos@shd.gov.co</w:t>
        </w:r>
      </w:hyperlink>
    </w:p>
    <w:p w14:paraId="4B30059C" w14:textId="77777777" w:rsidR="00B00E7B" w:rsidRPr="00141870" w:rsidRDefault="00B00E7B" w:rsidP="007F4187">
      <w:pPr>
        <w:ind w:right="-567"/>
        <w:jc w:val="both"/>
        <w:rPr>
          <w:rFonts w:ascii="Arial" w:hAnsi="Arial" w:cs="Arial"/>
          <w:sz w:val="24"/>
          <w:szCs w:val="24"/>
        </w:rPr>
      </w:pPr>
    </w:p>
    <w:p w14:paraId="3D1C3FBF" w14:textId="02485BE8" w:rsidR="00460EA1" w:rsidRPr="00746047" w:rsidRDefault="00746047" w:rsidP="007F4187">
      <w:pPr>
        <w:shd w:val="clear" w:color="auto" w:fill="FFFFFF"/>
        <w:ind w:right="-567"/>
        <w:jc w:val="both"/>
        <w:rPr>
          <w:rFonts w:ascii="Arial" w:hAnsi="Arial" w:cs="Arial"/>
          <w:sz w:val="22"/>
          <w:szCs w:val="22"/>
        </w:rPr>
      </w:pPr>
      <w:r>
        <w:rPr>
          <w:rFonts w:ascii="Arial" w:hAnsi="Arial" w:cs="Arial"/>
          <w:sz w:val="22"/>
          <w:szCs w:val="22"/>
        </w:rPr>
        <w:t>C.C.</w:t>
      </w:r>
      <w:r w:rsidR="0093156B" w:rsidRPr="00746047">
        <w:rPr>
          <w:rFonts w:ascii="Arial" w:hAnsi="Arial" w:cs="Arial"/>
          <w:sz w:val="22"/>
          <w:szCs w:val="22"/>
        </w:rPr>
        <w:t xml:space="preserve"> Dra. </w:t>
      </w:r>
      <w:r w:rsidRPr="00746047">
        <w:rPr>
          <w:rFonts w:ascii="Arial" w:hAnsi="Arial" w:cs="Arial"/>
          <w:sz w:val="22"/>
          <w:szCs w:val="22"/>
        </w:rPr>
        <w:t>Marcel</w:t>
      </w:r>
      <w:r w:rsidR="00201D4E">
        <w:rPr>
          <w:rFonts w:ascii="Arial" w:hAnsi="Arial" w:cs="Arial"/>
          <w:sz w:val="22"/>
          <w:szCs w:val="22"/>
        </w:rPr>
        <w:t>a</w:t>
      </w:r>
      <w:r w:rsidRPr="00746047">
        <w:rPr>
          <w:rFonts w:ascii="Arial" w:hAnsi="Arial" w:cs="Arial"/>
          <w:sz w:val="22"/>
          <w:szCs w:val="22"/>
        </w:rPr>
        <w:t xml:space="preserve"> Victoria Hern</w:t>
      </w:r>
      <w:r w:rsidR="004D6815">
        <w:rPr>
          <w:rFonts w:ascii="Arial" w:hAnsi="Arial" w:cs="Arial"/>
          <w:sz w:val="22"/>
          <w:szCs w:val="22"/>
        </w:rPr>
        <w:t>á</w:t>
      </w:r>
      <w:r w:rsidRPr="00746047">
        <w:rPr>
          <w:rFonts w:ascii="Arial" w:hAnsi="Arial" w:cs="Arial"/>
          <w:sz w:val="22"/>
          <w:szCs w:val="22"/>
        </w:rPr>
        <w:t xml:space="preserve">ndez Romero, </w:t>
      </w:r>
      <w:proofErr w:type="gramStart"/>
      <w:r w:rsidRPr="00746047">
        <w:rPr>
          <w:rFonts w:ascii="Arial" w:hAnsi="Arial" w:cs="Arial"/>
          <w:sz w:val="22"/>
          <w:szCs w:val="22"/>
        </w:rPr>
        <w:t>Directora</w:t>
      </w:r>
      <w:proofErr w:type="gramEnd"/>
      <w:r w:rsidRPr="00746047">
        <w:rPr>
          <w:rFonts w:ascii="Arial" w:hAnsi="Arial" w:cs="Arial"/>
          <w:sz w:val="22"/>
          <w:szCs w:val="22"/>
        </w:rPr>
        <w:t xml:space="preserve"> Distrital de Contabilidad, </w:t>
      </w:r>
      <w:hyperlink r:id="rId12" w:history="1">
        <w:r w:rsidRPr="00310D1E">
          <w:rPr>
            <w:rStyle w:val="Hipervnculo"/>
            <w:rFonts w:ascii="Arial" w:hAnsi="Arial" w:cs="Arial"/>
            <w:sz w:val="22"/>
            <w:szCs w:val="22"/>
          </w:rPr>
          <w:t>mvhernandez@shd.gov.co</w:t>
        </w:r>
      </w:hyperlink>
      <w:r>
        <w:rPr>
          <w:rFonts w:ascii="Arial" w:hAnsi="Arial" w:cs="Arial"/>
          <w:sz w:val="22"/>
          <w:szCs w:val="22"/>
        </w:rPr>
        <w:t xml:space="preserve">, Carrera 30 25-90 piso 4, </w:t>
      </w:r>
      <w:proofErr w:type="spellStart"/>
      <w:r>
        <w:rPr>
          <w:rFonts w:ascii="Arial" w:hAnsi="Arial" w:cs="Arial"/>
          <w:sz w:val="22"/>
          <w:szCs w:val="22"/>
        </w:rPr>
        <w:t>Nit</w:t>
      </w:r>
      <w:proofErr w:type="spellEnd"/>
      <w:r>
        <w:rPr>
          <w:rFonts w:ascii="Arial" w:hAnsi="Arial" w:cs="Arial"/>
          <w:sz w:val="22"/>
          <w:szCs w:val="22"/>
        </w:rPr>
        <w:t>: 89999906</w:t>
      </w:r>
      <w:r w:rsidR="003A6B08">
        <w:rPr>
          <w:rFonts w:ascii="Arial" w:hAnsi="Arial" w:cs="Arial"/>
          <w:sz w:val="22"/>
          <w:szCs w:val="22"/>
        </w:rPr>
        <w:t>-9</w:t>
      </w:r>
    </w:p>
    <w:p w14:paraId="2051537A" w14:textId="2F96A84F" w:rsidR="0093156B" w:rsidRDefault="0093156B" w:rsidP="007F4187">
      <w:pPr>
        <w:shd w:val="clear" w:color="auto" w:fill="FFFFFF"/>
        <w:ind w:right="-567"/>
        <w:jc w:val="both"/>
        <w:rPr>
          <w:rFonts w:ascii="Arial" w:hAnsi="Arial" w:cs="Arial"/>
          <w:sz w:val="24"/>
          <w:szCs w:val="24"/>
        </w:rPr>
      </w:pPr>
    </w:p>
    <w:p w14:paraId="41C399E5" w14:textId="07F3ACB4" w:rsidR="007F4187" w:rsidRDefault="007F4187" w:rsidP="007F4187">
      <w:pPr>
        <w:shd w:val="clear" w:color="auto" w:fill="FFFFFF"/>
        <w:ind w:right="-567"/>
        <w:jc w:val="both"/>
        <w:rPr>
          <w:rFonts w:ascii="Arial" w:hAnsi="Arial" w:cs="Arial"/>
          <w:sz w:val="24"/>
          <w:szCs w:val="24"/>
        </w:rPr>
      </w:pPr>
    </w:p>
    <w:p w14:paraId="2A3525F2" w14:textId="53FD835D" w:rsidR="007F4187" w:rsidRDefault="007F4187" w:rsidP="007F4187">
      <w:pPr>
        <w:shd w:val="clear" w:color="auto" w:fill="FFFFFF"/>
        <w:ind w:right="-567"/>
        <w:jc w:val="both"/>
        <w:rPr>
          <w:rFonts w:ascii="Arial" w:hAnsi="Arial" w:cs="Arial"/>
          <w:sz w:val="24"/>
          <w:szCs w:val="24"/>
        </w:rPr>
      </w:pPr>
    </w:p>
    <w:p w14:paraId="3FA56771" w14:textId="477E4007" w:rsidR="007F4187" w:rsidRDefault="007F4187" w:rsidP="007F4187">
      <w:pPr>
        <w:shd w:val="clear" w:color="auto" w:fill="FFFFFF"/>
        <w:ind w:right="-567"/>
        <w:jc w:val="both"/>
        <w:rPr>
          <w:rFonts w:ascii="Arial" w:hAnsi="Arial" w:cs="Arial"/>
          <w:sz w:val="24"/>
          <w:szCs w:val="24"/>
        </w:rPr>
      </w:pPr>
    </w:p>
    <w:p w14:paraId="516B2E8C" w14:textId="17E5A12E" w:rsidR="007F4187" w:rsidRDefault="007F4187" w:rsidP="007F4187">
      <w:pPr>
        <w:shd w:val="clear" w:color="auto" w:fill="FFFFFF"/>
        <w:ind w:right="-567"/>
        <w:jc w:val="both"/>
        <w:rPr>
          <w:rFonts w:ascii="Arial" w:hAnsi="Arial" w:cs="Arial"/>
          <w:sz w:val="24"/>
          <w:szCs w:val="24"/>
        </w:rPr>
      </w:pPr>
    </w:p>
    <w:p w14:paraId="5F651FE6" w14:textId="77777777" w:rsidR="007F4187" w:rsidRDefault="007F4187" w:rsidP="007F4187">
      <w:pPr>
        <w:shd w:val="clear" w:color="auto" w:fill="FFFFFF"/>
        <w:ind w:right="-567"/>
        <w:jc w:val="both"/>
        <w:rPr>
          <w:rFonts w:ascii="Arial" w:hAnsi="Arial" w:cs="Arial"/>
          <w:sz w:val="24"/>
          <w:szCs w:val="24"/>
        </w:rPr>
      </w:pPr>
    </w:p>
    <w:p w14:paraId="6902F8EC" w14:textId="32145DF6" w:rsidR="0093156B" w:rsidRDefault="0093156B" w:rsidP="007F4187">
      <w:pPr>
        <w:shd w:val="clear" w:color="auto" w:fill="FFFFFF"/>
        <w:ind w:right="-567"/>
        <w:jc w:val="both"/>
        <w:rPr>
          <w:rFonts w:ascii="Arial" w:hAnsi="Arial" w:cs="Arial"/>
          <w:sz w:val="24"/>
          <w:szCs w:val="24"/>
        </w:rPr>
      </w:pPr>
    </w:p>
    <w:p w14:paraId="32FE8ECB" w14:textId="77777777" w:rsidR="00F157E8" w:rsidRPr="00141870" w:rsidRDefault="00F157E8" w:rsidP="007F4187">
      <w:pPr>
        <w:shd w:val="clear" w:color="auto" w:fill="FFFFFF"/>
        <w:ind w:right="-567"/>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7226"/>
      </w:tblGrid>
      <w:tr w:rsidR="00460EA1" w:rsidRPr="00141870" w14:paraId="41E12A52" w14:textId="77777777" w:rsidTr="007F4187">
        <w:trPr>
          <w:cantSplit/>
          <w:trHeight w:val="289"/>
        </w:trPr>
        <w:tc>
          <w:tcPr>
            <w:tcW w:w="747" w:type="pct"/>
            <w:shd w:val="clear" w:color="auto" w:fill="auto"/>
            <w:vAlign w:val="center"/>
          </w:tcPr>
          <w:p w14:paraId="76A1FC30" w14:textId="77777777" w:rsidR="00460EA1" w:rsidRPr="00D82CD0" w:rsidRDefault="00460EA1" w:rsidP="007F4187">
            <w:pPr>
              <w:ind w:right="-567"/>
              <w:jc w:val="both"/>
              <w:rPr>
                <w:rFonts w:ascii="Arial" w:hAnsi="Arial" w:cs="Arial"/>
                <w:sz w:val="16"/>
                <w:szCs w:val="16"/>
              </w:rPr>
            </w:pPr>
            <w:r w:rsidRPr="00D82CD0">
              <w:rPr>
                <w:rFonts w:ascii="Arial" w:hAnsi="Arial" w:cs="Arial"/>
                <w:sz w:val="16"/>
                <w:szCs w:val="16"/>
              </w:rPr>
              <w:t>Revisado por:</w:t>
            </w:r>
          </w:p>
        </w:tc>
        <w:tc>
          <w:tcPr>
            <w:tcW w:w="4253" w:type="pct"/>
            <w:shd w:val="clear" w:color="auto" w:fill="auto"/>
            <w:vAlign w:val="center"/>
          </w:tcPr>
          <w:p w14:paraId="234C518C" w14:textId="6875B606" w:rsidR="00B2680C" w:rsidRPr="00D82CD0" w:rsidRDefault="00A244E7" w:rsidP="007F4187">
            <w:pPr>
              <w:ind w:right="-567"/>
              <w:jc w:val="both"/>
              <w:rPr>
                <w:rFonts w:ascii="Arial" w:hAnsi="Arial" w:cs="Arial"/>
                <w:iCs/>
                <w:sz w:val="16"/>
                <w:szCs w:val="16"/>
              </w:rPr>
            </w:pPr>
            <w:r>
              <w:rPr>
                <w:rFonts w:ascii="Arial" w:hAnsi="Arial" w:cs="Arial"/>
                <w:iCs/>
                <w:sz w:val="16"/>
                <w:szCs w:val="16"/>
              </w:rPr>
              <w:t>Carol Milena Murillo Herrera</w:t>
            </w:r>
            <w:r w:rsidR="00460EA1" w:rsidRPr="00D82CD0">
              <w:rPr>
                <w:rFonts w:ascii="Arial" w:hAnsi="Arial" w:cs="Arial"/>
                <w:iCs/>
                <w:sz w:val="16"/>
                <w:szCs w:val="16"/>
              </w:rPr>
              <w:t xml:space="preserve"> - </w:t>
            </w:r>
            <w:proofErr w:type="gramStart"/>
            <w:r w:rsidR="00460EA1" w:rsidRPr="00D82CD0">
              <w:rPr>
                <w:rFonts w:ascii="Arial" w:hAnsi="Arial" w:cs="Arial"/>
                <w:iCs/>
                <w:sz w:val="16"/>
                <w:szCs w:val="16"/>
              </w:rPr>
              <w:t>Subdirector</w:t>
            </w:r>
            <w:r>
              <w:rPr>
                <w:rFonts w:ascii="Arial" w:hAnsi="Arial" w:cs="Arial"/>
                <w:iCs/>
                <w:sz w:val="16"/>
                <w:szCs w:val="16"/>
              </w:rPr>
              <w:t>a</w:t>
            </w:r>
            <w:proofErr w:type="gramEnd"/>
            <w:r w:rsidR="00460EA1" w:rsidRPr="00D82CD0">
              <w:rPr>
                <w:rFonts w:ascii="Arial" w:hAnsi="Arial" w:cs="Arial"/>
                <w:iCs/>
                <w:sz w:val="16"/>
                <w:szCs w:val="16"/>
              </w:rPr>
              <w:t xml:space="preserve"> SJH</w:t>
            </w:r>
            <w:r>
              <w:rPr>
                <w:rFonts w:ascii="Arial" w:hAnsi="Arial" w:cs="Arial"/>
                <w:iCs/>
                <w:sz w:val="16"/>
                <w:szCs w:val="16"/>
              </w:rPr>
              <w:t xml:space="preserve"> (E)</w:t>
            </w:r>
          </w:p>
        </w:tc>
      </w:tr>
      <w:tr w:rsidR="00460EA1" w:rsidRPr="00141870" w14:paraId="206E9CE9" w14:textId="77777777" w:rsidTr="007F4187">
        <w:trPr>
          <w:cantSplit/>
          <w:trHeight w:val="280"/>
        </w:trPr>
        <w:tc>
          <w:tcPr>
            <w:tcW w:w="747" w:type="pct"/>
            <w:shd w:val="clear" w:color="auto" w:fill="auto"/>
            <w:vAlign w:val="center"/>
          </w:tcPr>
          <w:p w14:paraId="76216A0C" w14:textId="77777777" w:rsidR="00460EA1" w:rsidRPr="00D82CD0" w:rsidRDefault="00460EA1" w:rsidP="007F4187">
            <w:pPr>
              <w:ind w:right="-567"/>
              <w:jc w:val="both"/>
              <w:rPr>
                <w:rFonts w:ascii="Arial" w:hAnsi="Arial" w:cs="Arial"/>
                <w:sz w:val="16"/>
                <w:szCs w:val="16"/>
              </w:rPr>
            </w:pPr>
            <w:r w:rsidRPr="00D82CD0">
              <w:rPr>
                <w:rFonts w:ascii="Arial" w:hAnsi="Arial" w:cs="Arial"/>
                <w:sz w:val="16"/>
                <w:szCs w:val="16"/>
              </w:rPr>
              <w:t>Proyectado por:</w:t>
            </w:r>
          </w:p>
        </w:tc>
        <w:tc>
          <w:tcPr>
            <w:tcW w:w="4253" w:type="pct"/>
            <w:shd w:val="clear" w:color="auto" w:fill="auto"/>
            <w:vAlign w:val="center"/>
          </w:tcPr>
          <w:p w14:paraId="7AEE3B87" w14:textId="13FD197A" w:rsidR="00460EA1" w:rsidRPr="00D82CD0" w:rsidRDefault="00F617B7" w:rsidP="007F4187">
            <w:pPr>
              <w:pStyle w:val="Ttulo2"/>
              <w:ind w:right="-567"/>
              <w:jc w:val="both"/>
              <w:textAlignment w:val="top"/>
              <w:rPr>
                <w:rFonts w:ascii="Arial" w:hAnsi="Arial" w:cs="Arial"/>
                <w:iCs w:val="0"/>
                <w:sz w:val="16"/>
                <w:szCs w:val="16"/>
                <w:lang w:val="es-CO"/>
              </w:rPr>
            </w:pPr>
            <w:r w:rsidRPr="00D82CD0">
              <w:rPr>
                <w:rFonts w:ascii="Arial" w:hAnsi="Arial" w:cs="Arial"/>
                <w:b w:val="0"/>
                <w:bCs w:val="0"/>
                <w:i w:val="0"/>
                <w:sz w:val="16"/>
                <w:szCs w:val="16"/>
                <w:lang w:eastAsia="es-ES"/>
              </w:rPr>
              <w:t>Alfonso Suarez Ruiz</w:t>
            </w:r>
            <w:r w:rsidR="00460EA1" w:rsidRPr="00D82CD0">
              <w:rPr>
                <w:rFonts w:ascii="Arial" w:hAnsi="Arial" w:cs="Arial"/>
                <w:b w:val="0"/>
                <w:bCs w:val="0"/>
                <w:i w:val="0"/>
                <w:sz w:val="16"/>
                <w:szCs w:val="16"/>
                <w:lang w:eastAsia="es-ES"/>
              </w:rPr>
              <w:t xml:space="preserve"> - Profesional Especializado SJH</w:t>
            </w:r>
          </w:p>
        </w:tc>
      </w:tr>
    </w:tbl>
    <w:p w14:paraId="4E865BA7" w14:textId="77777777" w:rsidR="00460EA1" w:rsidRPr="00141870" w:rsidRDefault="00460EA1" w:rsidP="007F4187">
      <w:pPr>
        <w:ind w:right="-567"/>
        <w:jc w:val="both"/>
        <w:rPr>
          <w:rFonts w:ascii="Arial" w:hAnsi="Arial" w:cs="Arial"/>
          <w:sz w:val="10"/>
          <w:szCs w:val="10"/>
        </w:rPr>
      </w:pPr>
    </w:p>
    <w:p w14:paraId="1376FAAD" w14:textId="77777777" w:rsidR="00460EA1" w:rsidRPr="00141870" w:rsidRDefault="00460EA1" w:rsidP="007F4187">
      <w:pPr>
        <w:ind w:right="-567"/>
        <w:jc w:val="both"/>
        <w:rPr>
          <w:rFonts w:ascii="Arial" w:hAnsi="Arial" w:cs="Arial"/>
          <w:sz w:val="16"/>
          <w:szCs w:val="16"/>
        </w:rPr>
      </w:pPr>
    </w:p>
    <w:p w14:paraId="4147DC25" w14:textId="41B40D89" w:rsidR="00460EA1" w:rsidRDefault="00460EA1" w:rsidP="007F4187">
      <w:pPr>
        <w:ind w:right="-567"/>
        <w:jc w:val="both"/>
      </w:pPr>
    </w:p>
    <w:sectPr w:rsidR="00460EA1" w:rsidSect="007A588B">
      <w:headerReference w:type="default" r:id="rId13"/>
      <w:footerReference w:type="even" r:id="rId14"/>
      <w:footerReference w:type="default" r:id="rId15"/>
      <w:pgSz w:w="12240" w:h="15840"/>
      <w:pgMar w:top="1985" w:right="2034"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CBB5" w14:textId="77777777" w:rsidR="00017E0A" w:rsidRDefault="00017E0A">
      <w:r>
        <w:separator/>
      </w:r>
    </w:p>
  </w:endnote>
  <w:endnote w:type="continuationSeparator" w:id="0">
    <w:p w14:paraId="0A5EBCB9" w14:textId="77777777" w:rsidR="00017E0A" w:rsidRDefault="0001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E049" w14:textId="77777777" w:rsidR="00017E0A" w:rsidRDefault="00017E0A">
      <w:r>
        <w:separator/>
      </w:r>
    </w:p>
  </w:footnote>
  <w:footnote w:type="continuationSeparator" w:id="0">
    <w:p w14:paraId="3C11F3DB" w14:textId="77777777" w:rsidR="00017E0A" w:rsidRDefault="00017E0A">
      <w:r>
        <w:continuationSeparator/>
      </w:r>
    </w:p>
  </w:footnote>
  <w:footnote w:id="1">
    <w:p w14:paraId="7B37BE78" w14:textId="1B7FF610" w:rsidR="00C47B40" w:rsidRPr="00C47B40" w:rsidRDefault="00C47B40">
      <w:pPr>
        <w:pStyle w:val="Textonotapie"/>
        <w:rPr>
          <w:rFonts w:ascii="Arial" w:hAnsi="Arial" w:cs="Arial"/>
          <w:i/>
          <w:iCs/>
          <w:lang w:val="es-CO"/>
        </w:rPr>
      </w:pPr>
      <w:r w:rsidRPr="00C47B40">
        <w:rPr>
          <w:rStyle w:val="Refdenotaalpie"/>
          <w:rFonts w:ascii="Arial" w:hAnsi="Arial" w:cs="Arial"/>
          <w:i/>
          <w:iCs/>
        </w:rPr>
        <w:footnoteRef/>
      </w:r>
      <w:r w:rsidRPr="00C47B40">
        <w:rPr>
          <w:rFonts w:ascii="Arial" w:hAnsi="Arial" w:cs="Arial"/>
          <w:i/>
          <w:iCs/>
        </w:rPr>
        <w:t xml:space="preserve"> </w:t>
      </w:r>
      <w:r w:rsidRPr="00C47B40">
        <w:rPr>
          <w:rFonts w:ascii="Arial" w:hAnsi="Arial" w:cs="Arial"/>
          <w:i/>
          <w:iCs/>
          <w:lang w:val="es-ES_tradnl"/>
        </w:rPr>
        <w:t>Concepto Unificador 2020EE1154 Dirección Jurídica Secretaría Distrital de Hacienda</w:t>
      </w:r>
    </w:p>
  </w:footnote>
  <w:footnote w:id="2">
    <w:p w14:paraId="13B2CCDE" w14:textId="4D6A2030" w:rsidR="00A155F0" w:rsidRPr="00A155F0" w:rsidRDefault="000950A8" w:rsidP="00A155F0">
      <w:pPr>
        <w:pStyle w:val="Ttulo"/>
        <w:spacing w:before="0" w:after="0"/>
        <w:jc w:val="both"/>
      </w:pPr>
      <w:r w:rsidRPr="006F5C41">
        <w:rPr>
          <w:rStyle w:val="Refdenotaalpie"/>
          <w:bCs w:val="0"/>
          <w:sz w:val="20"/>
          <w:szCs w:val="20"/>
        </w:rPr>
        <w:footnoteRef/>
      </w:r>
      <w:r w:rsidRPr="006F5C41">
        <w:rPr>
          <w:b w:val="0"/>
          <w:sz w:val="20"/>
          <w:szCs w:val="20"/>
        </w:rPr>
        <w:t xml:space="preserve"> </w:t>
      </w:r>
      <w:r w:rsidRPr="006F5C41">
        <w:rPr>
          <w:b w:val="0"/>
          <w:iCs/>
          <w:sz w:val="20"/>
          <w:szCs w:val="20"/>
        </w:rPr>
        <w:t xml:space="preserve">Consejo de Estado. Sección Cuarta. </w:t>
      </w:r>
      <w:r w:rsidR="00D37EDA">
        <w:rPr>
          <w:b w:val="0"/>
          <w:iCs/>
          <w:sz w:val="20"/>
          <w:szCs w:val="20"/>
        </w:rPr>
        <w:t xml:space="preserve">Sentencia del 19 de abril de 2018. </w:t>
      </w:r>
      <w:r w:rsidR="00230920" w:rsidRPr="00D37EDA">
        <w:rPr>
          <w:b w:val="0"/>
          <w:iCs/>
          <w:sz w:val="20"/>
          <w:szCs w:val="20"/>
        </w:rPr>
        <w:t>Radicación número: 76001-23-31-000-2008-00510-01(22380)</w:t>
      </w:r>
      <w:r w:rsidR="00230920">
        <w:rPr>
          <w:b w:val="0"/>
          <w:iCs/>
          <w:sz w:val="20"/>
          <w:szCs w:val="20"/>
        </w:rPr>
        <w:t xml:space="preserve">. </w:t>
      </w:r>
      <w:r w:rsidR="00D37EDA" w:rsidRPr="00D37EDA">
        <w:rPr>
          <w:b w:val="0"/>
          <w:iCs/>
          <w:sz w:val="20"/>
          <w:szCs w:val="20"/>
        </w:rPr>
        <w:t>Consejero Ponente: M</w:t>
      </w:r>
      <w:r w:rsidR="00230920">
        <w:rPr>
          <w:b w:val="0"/>
          <w:iCs/>
          <w:sz w:val="20"/>
          <w:szCs w:val="20"/>
        </w:rPr>
        <w:t xml:space="preserve">ilton Chaves </w:t>
      </w:r>
      <w:r w:rsidR="00D37EDA" w:rsidRPr="00D37EDA">
        <w:rPr>
          <w:b w:val="0"/>
          <w:iCs/>
          <w:sz w:val="20"/>
          <w:szCs w:val="20"/>
        </w:rPr>
        <w:t>G</w:t>
      </w:r>
      <w:r w:rsidR="00230920">
        <w:rPr>
          <w:b w:val="0"/>
          <w:iCs/>
          <w:sz w:val="20"/>
          <w:szCs w:val="20"/>
        </w:rPr>
        <w:t>arcía.</w:t>
      </w:r>
    </w:p>
  </w:footnote>
  <w:footnote w:id="3">
    <w:p w14:paraId="6005C15F" w14:textId="698E0576" w:rsidR="00F815C0" w:rsidRPr="00EC46A1" w:rsidRDefault="00F815C0" w:rsidP="00A155F0">
      <w:pPr>
        <w:pStyle w:val="Textonotapie"/>
        <w:rPr>
          <w:lang w:val="es-CO"/>
        </w:rPr>
      </w:pPr>
      <w:r>
        <w:rPr>
          <w:rStyle w:val="Refdenotaalpie"/>
        </w:rPr>
        <w:footnoteRef/>
      </w:r>
      <w:r>
        <w:t xml:space="preserve"> </w:t>
      </w:r>
      <w:r w:rsidR="00BC1342">
        <w:t xml:space="preserve">Consejo de Estado. Concepto Sala de Consulta y Servicio Civil. </w:t>
      </w:r>
      <w:r w:rsidR="00E60C7F">
        <w:t xml:space="preserve">05 de diciembre de 2002. Radicación 1469. </w:t>
      </w:r>
      <w:r w:rsidR="00BC1342">
        <w:t xml:space="preserve">Consejero ponente: </w:t>
      </w:r>
      <w:r w:rsidR="00E60C7F">
        <w:t>Susana Montes de Echeverri.</w:t>
      </w:r>
    </w:p>
  </w:footnote>
  <w:footnote w:id="4">
    <w:p w14:paraId="3566894F" w14:textId="77777777" w:rsidR="00B802F9" w:rsidRDefault="00B802F9" w:rsidP="00A155F0">
      <w:pPr>
        <w:pStyle w:val="Textonotapie"/>
        <w:jc w:val="both"/>
        <w:rPr>
          <w:rFonts w:ascii="Arial" w:hAnsi="Arial" w:cs="Arial"/>
          <w:i/>
          <w:iCs/>
          <w:sz w:val="18"/>
        </w:rPr>
      </w:pPr>
      <w:r>
        <w:rPr>
          <w:rStyle w:val="Refdenotaalpie"/>
          <w:rFonts w:ascii="Arial" w:hAnsi="Arial" w:cs="Arial"/>
          <w:i/>
          <w:iCs/>
          <w:sz w:val="18"/>
        </w:rPr>
        <w:footnoteRef/>
      </w:r>
      <w:r>
        <w:rPr>
          <w:rFonts w:ascii="Arial" w:hAnsi="Arial" w:cs="Arial"/>
          <w:i/>
          <w:iCs/>
          <w:sz w:val="18"/>
        </w:rPr>
        <w:t xml:space="preserve"> C.P. Artículo 294. “La ley no podrá conceder exenciones ni tratamientos preferenciales en relación con los tributos de propiedad de las entidades territoriales.”.</w:t>
      </w:r>
    </w:p>
    <w:p w14:paraId="39AE7B89" w14:textId="77777777" w:rsidR="00B802F9" w:rsidRDefault="00B802F9" w:rsidP="00A155F0">
      <w:pPr>
        <w:pStyle w:val="Textonotapie"/>
        <w:jc w:val="both"/>
        <w:rPr>
          <w:rFonts w:ascii="Arial" w:hAnsi="Arial" w:cs="Arial"/>
          <w:i/>
          <w:iCs/>
          <w:sz w:val="18"/>
        </w:rPr>
      </w:pPr>
      <w:r>
        <w:rPr>
          <w:rFonts w:ascii="Arial" w:hAnsi="Arial" w:cs="Arial"/>
          <w:i/>
          <w:iCs/>
          <w:sz w:val="18"/>
        </w:rPr>
        <w:t xml:space="preserve">Jornadas Colombianas de Derecho Tributario (XXII:1.998, febrero 25 al 27: Cartagena). </w:t>
      </w:r>
      <w:proofErr w:type="spellStart"/>
      <w:proofErr w:type="gramStart"/>
      <w:r>
        <w:rPr>
          <w:rFonts w:ascii="Arial" w:hAnsi="Arial" w:cs="Arial"/>
          <w:i/>
          <w:iCs/>
          <w:sz w:val="18"/>
        </w:rPr>
        <w:t>Memorias:XXII</w:t>
      </w:r>
      <w:proofErr w:type="spellEnd"/>
      <w:proofErr w:type="gramEnd"/>
      <w:r>
        <w:rPr>
          <w:rFonts w:ascii="Arial" w:hAnsi="Arial" w:cs="Arial"/>
          <w:i/>
          <w:iCs/>
          <w:sz w:val="18"/>
        </w:rPr>
        <w:t xml:space="preserve"> jornadas colombianas de derecho tributario. Bogotá, ICDT,1.998, Capítulo III, Incentivos Tributarios: </w:t>
      </w:r>
      <w:proofErr w:type="gramStart"/>
      <w:r>
        <w:rPr>
          <w:rFonts w:ascii="Arial" w:hAnsi="Arial" w:cs="Arial"/>
          <w:i/>
          <w:iCs/>
          <w:sz w:val="18"/>
        </w:rPr>
        <w:t>“ Pero</w:t>
      </w:r>
      <w:proofErr w:type="gramEnd"/>
      <w:r>
        <w:rPr>
          <w:rFonts w:ascii="Arial" w:hAnsi="Arial" w:cs="Arial"/>
          <w:i/>
          <w:iCs/>
          <w:sz w:val="18"/>
        </w:rPr>
        <w:t xml:space="preserve"> el artículo 294 de la Constitución “exenciones y tratamientos preferenciales” creemos necesario que se precise el contenido del término exención consagrado en la norma. En nuestro criterio, este término debería ser entendido en el sentido de beneficio o estímulo tributario y con un criterio amplio, es decir no solamente referido a las exenciones propiamente dichas sino a cualquier norma tributaria que pretenda establecer estímulos o incentivos con fines predominantemente extrafiscales. En otras palabras creemos que el término de “exención” consagrado en el artículo 294 debería </w:t>
      </w:r>
      <w:proofErr w:type="gramStart"/>
      <w:r>
        <w:rPr>
          <w:rFonts w:ascii="Arial" w:hAnsi="Arial" w:cs="Arial"/>
          <w:i/>
          <w:iCs/>
          <w:sz w:val="18"/>
        </w:rPr>
        <w:t xml:space="preserve">ser  </w:t>
      </w:r>
      <w:proofErr w:type="spellStart"/>
      <w:r>
        <w:rPr>
          <w:rFonts w:ascii="Arial" w:hAnsi="Arial" w:cs="Arial"/>
          <w:i/>
          <w:iCs/>
          <w:sz w:val="18"/>
        </w:rPr>
        <w:t>sustituído</w:t>
      </w:r>
      <w:proofErr w:type="spellEnd"/>
      <w:proofErr w:type="gramEnd"/>
      <w:r>
        <w:rPr>
          <w:rFonts w:ascii="Arial" w:hAnsi="Arial" w:cs="Arial"/>
          <w:i/>
          <w:iCs/>
          <w:sz w:val="18"/>
        </w:rPr>
        <w:t xml:space="preserve"> por los términos “incentivos o beneficios” casi como sinónimos de la expresión “tratamientos preferenciales” contenida en la misma norma”.</w:t>
      </w:r>
    </w:p>
    <w:p w14:paraId="75C5F675" w14:textId="77777777" w:rsidR="00B802F9" w:rsidRDefault="00B802F9" w:rsidP="00A155F0">
      <w:pPr>
        <w:pStyle w:val="Textonotapie"/>
        <w:jc w:val="both"/>
        <w:rPr>
          <w:rFonts w:ascii="Arial" w:hAnsi="Arial" w:cs="Arial"/>
          <w:i/>
          <w:iCs/>
          <w:sz w:val="18"/>
        </w:rPr>
      </w:pPr>
    </w:p>
    <w:p w14:paraId="468CCF7A" w14:textId="77777777" w:rsidR="00B802F9" w:rsidRDefault="00B802F9" w:rsidP="00A155F0">
      <w:pPr>
        <w:pStyle w:val="Textonotapie"/>
        <w:jc w:val="both"/>
        <w:rPr>
          <w:rFonts w:ascii="Arial" w:hAnsi="Arial" w:cs="Arial"/>
          <w:i/>
          <w:iCs/>
          <w:sz w:val="18"/>
        </w:rPr>
      </w:pPr>
      <w:r>
        <w:rPr>
          <w:rFonts w:ascii="Arial" w:hAnsi="Arial" w:cs="Arial"/>
          <w:i/>
          <w:iCs/>
          <w:sz w:val="18"/>
        </w:rPr>
        <w:t xml:space="preserve">La Exención Tributaria. Pedro Manuel Herrera Molina, Ed. Colex, 1.990: </w:t>
      </w:r>
      <w:proofErr w:type="gramStart"/>
      <w:r>
        <w:rPr>
          <w:rFonts w:ascii="Arial" w:hAnsi="Arial" w:cs="Arial"/>
          <w:i/>
          <w:iCs/>
          <w:sz w:val="18"/>
        </w:rPr>
        <w:t>“  La</w:t>
      </w:r>
      <w:proofErr w:type="gramEnd"/>
      <w:r>
        <w:rPr>
          <w:rFonts w:ascii="Arial" w:hAnsi="Arial" w:cs="Arial"/>
          <w:i/>
          <w:iCs/>
          <w:sz w:val="18"/>
        </w:rPr>
        <w:t xml:space="preserve"> doctrina de </w:t>
      </w:r>
      <w:proofErr w:type="spellStart"/>
      <w:r>
        <w:rPr>
          <w:rFonts w:ascii="Arial" w:hAnsi="Arial" w:cs="Arial"/>
          <w:i/>
          <w:iCs/>
          <w:sz w:val="18"/>
        </w:rPr>
        <w:t>Berliri</w:t>
      </w:r>
      <w:proofErr w:type="spellEnd"/>
      <w:r>
        <w:rPr>
          <w:rFonts w:ascii="Arial" w:hAnsi="Arial" w:cs="Arial"/>
          <w:i/>
          <w:iCs/>
          <w:sz w:val="18"/>
        </w:rPr>
        <w:t xml:space="preserve"> acierta con la clave del problema (...) en la no sujeción se está en presencia de una situación en la que resta algo para ser el presupuesto de hecho previsto por el legislador como idóneo para determinar el nacimiento de la obligación tributaria. En la exención, al contrario, se está en presencia de una situación que representa algo más que el presupuesto de hecho. (...) La obligación tributaria no nace porque no ha tenido lugar el hecho imponible, sino una situación que representa algo más del presupuesto de hecho: el hecho imponible exento”...”Para terminar este apartado haremos referencia a la postura del profesor Tesauro que elabora un concepto de exclusión tributaria muy semejante a lo que la doctrina española denomina supuestos de no sujeción: “las exenciones constituyen una derogación de la disciplina general del tributo, mientras que las exclusiones derivan de enunciados con los que el legislador aclara los límites de aplicación del tributo sin derogar las consecuencias de sus enunciados generales”.</w:t>
      </w:r>
    </w:p>
  </w:footnote>
  <w:footnote w:id="5">
    <w:p w14:paraId="6192F7C0" w14:textId="77777777" w:rsidR="00B802F9" w:rsidRDefault="00B802F9" w:rsidP="00A155F0">
      <w:pPr>
        <w:pStyle w:val="Textonotapie"/>
      </w:pPr>
      <w:r>
        <w:rPr>
          <w:rStyle w:val="Refdenotaalpie"/>
        </w:rPr>
        <w:footnoteRef/>
      </w:r>
      <w:r>
        <w:t xml:space="preserve"> </w:t>
      </w:r>
      <w:r>
        <w:rPr>
          <w:rFonts w:ascii="Arial" w:hAnsi="Arial" w:cs="Arial"/>
          <w:i/>
          <w:iCs/>
          <w:sz w:val="18"/>
        </w:rPr>
        <w:t>Ramírez Cardona, Alejandro. Derecho Tributario. Temis, Cuarta Edición. Pág.56 y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6CDBC853" w:rsidR="00FA5EE7" w:rsidRPr="00B50543" w:rsidRDefault="00017E0A">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7" name="Imagen 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3DE55D7"/>
    <w:multiLevelType w:val="hybridMultilevel"/>
    <w:tmpl w:val="40929004"/>
    <w:lvl w:ilvl="0" w:tplc="E482153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91F4773"/>
    <w:multiLevelType w:val="hybridMultilevel"/>
    <w:tmpl w:val="2A789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323389"/>
    <w:multiLevelType w:val="hybridMultilevel"/>
    <w:tmpl w:val="938CD96C"/>
    <w:lvl w:ilvl="0" w:tplc="8FE85D0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4"/>
  </w:num>
  <w:num w:numId="3">
    <w:abstractNumId w:val="2"/>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11872"/>
    <w:rsid w:val="00013B9F"/>
    <w:rsid w:val="0001748D"/>
    <w:rsid w:val="00017E0A"/>
    <w:rsid w:val="00017F35"/>
    <w:rsid w:val="00022CB6"/>
    <w:rsid w:val="00030530"/>
    <w:rsid w:val="00032950"/>
    <w:rsid w:val="00032FE3"/>
    <w:rsid w:val="00041BC8"/>
    <w:rsid w:val="000448C1"/>
    <w:rsid w:val="0004540C"/>
    <w:rsid w:val="00045F02"/>
    <w:rsid w:val="000476A8"/>
    <w:rsid w:val="0005138B"/>
    <w:rsid w:val="000560A9"/>
    <w:rsid w:val="00061074"/>
    <w:rsid w:val="00062D89"/>
    <w:rsid w:val="0006515A"/>
    <w:rsid w:val="00066372"/>
    <w:rsid w:val="00066A65"/>
    <w:rsid w:val="000730BF"/>
    <w:rsid w:val="00077F21"/>
    <w:rsid w:val="00082CB7"/>
    <w:rsid w:val="0008355C"/>
    <w:rsid w:val="00086716"/>
    <w:rsid w:val="00090154"/>
    <w:rsid w:val="00090593"/>
    <w:rsid w:val="00091714"/>
    <w:rsid w:val="00094BE4"/>
    <w:rsid w:val="000950A8"/>
    <w:rsid w:val="00097F07"/>
    <w:rsid w:val="000A53E5"/>
    <w:rsid w:val="000A5AE1"/>
    <w:rsid w:val="000A6096"/>
    <w:rsid w:val="000B09ED"/>
    <w:rsid w:val="000B6054"/>
    <w:rsid w:val="000B7031"/>
    <w:rsid w:val="000C1C75"/>
    <w:rsid w:val="000C3081"/>
    <w:rsid w:val="000C46E8"/>
    <w:rsid w:val="000D40E6"/>
    <w:rsid w:val="000D49CB"/>
    <w:rsid w:val="000E1CDD"/>
    <w:rsid w:val="000E2C2E"/>
    <w:rsid w:val="00102355"/>
    <w:rsid w:val="00102F28"/>
    <w:rsid w:val="00121D7B"/>
    <w:rsid w:val="0012303F"/>
    <w:rsid w:val="00123265"/>
    <w:rsid w:val="00124044"/>
    <w:rsid w:val="00126F36"/>
    <w:rsid w:val="00134C57"/>
    <w:rsid w:val="0013613F"/>
    <w:rsid w:val="00137469"/>
    <w:rsid w:val="00142360"/>
    <w:rsid w:val="001434E6"/>
    <w:rsid w:val="00150D87"/>
    <w:rsid w:val="00152F99"/>
    <w:rsid w:val="00157FD2"/>
    <w:rsid w:val="0016004A"/>
    <w:rsid w:val="001672CE"/>
    <w:rsid w:val="001720C5"/>
    <w:rsid w:val="0017218C"/>
    <w:rsid w:val="0017691F"/>
    <w:rsid w:val="001772FC"/>
    <w:rsid w:val="001821A1"/>
    <w:rsid w:val="00184146"/>
    <w:rsid w:val="00185AFE"/>
    <w:rsid w:val="00185F19"/>
    <w:rsid w:val="001941D7"/>
    <w:rsid w:val="00194E72"/>
    <w:rsid w:val="00195B80"/>
    <w:rsid w:val="001A0E75"/>
    <w:rsid w:val="001A1187"/>
    <w:rsid w:val="001A15B4"/>
    <w:rsid w:val="001A2A6A"/>
    <w:rsid w:val="001A2DC6"/>
    <w:rsid w:val="001A3EE1"/>
    <w:rsid w:val="001A43F8"/>
    <w:rsid w:val="001B11E5"/>
    <w:rsid w:val="001B1D12"/>
    <w:rsid w:val="001B37CC"/>
    <w:rsid w:val="001B474C"/>
    <w:rsid w:val="001B4DD7"/>
    <w:rsid w:val="001C1114"/>
    <w:rsid w:val="001C32DC"/>
    <w:rsid w:val="001C34A5"/>
    <w:rsid w:val="001C4B48"/>
    <w:rsid w:val="001C4C99"/>
    <w:rsid w:val="001C537D"/>
    <w:rsid w:val="001C603A"/>
    <w:rsid w:val="001C673F"/>
    <w:rsid w:val="001D5AA4"/>
    <w:rsid w:val="001D6448"/>
    <w:rsid w:val="001D66AD"/>
    <w:rsid w:val="001D6DB6"/>
    <w:rsid w:val="001E3FC7"/>
    <w:rsid w:val="001E5D0A"/>
    <w:rsid w:val="001E6245"/>
    <w:rsid w:val="001E6AA2"/>
    <w:rsid w:val="001F170A"/>
    <w:rsid w:val="001F50EF"/>
    <w:rsid w:val="001F6034"/>
    <w:rsid w:val="00201D4E"/>
    <w:rsid w:val="00203908"/>
    <w:rsid w:val="00203D31"/>
    <w:rsid w:val="0021197E"/>
    <w:rsid w:val="002123F8"/>
    <w:rsid w:val="002125D9"/>
    <w:rsid w:val="00214346"/>
    <w:rsid w:val="00214FCB"/>
    <w:rsid w:val="00217BB5"/>
    <w:rsid w:val="002251AC"/>
    <w:rsid w:val="00225393"/>
    <w:rsid w:val="00225FD9"/>
    <w:rsid w:val="00230920"/>
    <w:rsid w:val="00231E01"/>
    <w:rsid w:val="00231F38"/>
    <w:rsid w:val="002411D6"/>
    <w:rsid w:val="002417F8"/>
    <w:rsid w:val="00241D71"/>
    <w:rsid w:val="0024572E"/>
    <w:rsid w:val="00245AE3"/>
    <w:rsid w:val="00246BA7"/>
    <w:rsid w:val="00250845"/>
    <w:rsid w:val="002519B4"/>
    <w:rsid w:val="0025791A"/>
    <w:rsid w:val="00257CA4"/>
    <w:rsid w:val="00260338"/>
    <w:rsid w:val="0026165D"/>
    <w:rsid w:val="00263F08"/>
    <w:rsid w:val="00267A3D"/>
    <w:rsid w:val="00267DBC"/>
    <w:rsid w:val="00270910"/>
    <w:rsid w:val="00270D1C"/>
    <w:rsid w:val="002718F5"/>
    <w:rsid w:val="002763B8"/>
    <w:rsid w:val="002764B7"/>
    <w:rsid w:val="0028057D"/>
    <w:rsid w:val="00280BD4"/>
    <w:rsid w:val="00281C70"/>
    <w:rsid w:val="002827F8"/>
    <w:rsid w:val="00284CC0"/>
    <w:rsid w:val="002875EF"/>
    <w:rsid w:val="00287935"/>
    <w:rsid w:val="00295CEB"/>
    <w:rsid w:val="00296EE9"/>
    <w:rsid w:val="002A0B2B"/>
    <w:rsid w:val="002A2C99"/>
    <w:rsid w:val="002A6BF8"/>
    <w:rsid w:val="002B1E4D"/>
    <w:rsid w:val="002B26FC"/>
    <w:rsid w:val="002B7E9D"/>
    <w:rsid w:val="002C5926"/>
    <w:rsid w:val="002E0109"/>
    <w:rsid w:val="002E15D1"/>
    <w:rsid w:val="002E1DB9"/>
    <w:rsid w:val="002E47CA"/>
    <w:rsid w:val="002E6353"/>
    <w:rsid w:val="002F3167"/>
    <w:rsid w:val="003010A5"/>
    <w:rsid w:val="00305461"/>
    <w:rsid w:val="00307794"/>
    <w:rsid w:val="00307F5F"/>
    <w:rsid w:val="00313106"/>
    <w:rsid w:val="00316DA2"/>
    <w:rsid w:val="00317B75"/>
    <w:rsid w:val="00321874"/>
    <w:rsid w:val="00327634"/>
    <w:rsid w:val="00327A57"/>
    <w:rsid w:val="003329F9"/>
    <w:rsid w:val="00332CA6"/>
    <w:rsid w:val="003332EF"/>
    <w:rsid w:val="003337D3"/>
    <w:rsid w:val="00341151"/>
    <w:rsid w:val="003566AA"/>
    <w:rsid w:val="003606FC"/>
    <w:rsid w:val="00361616"/>
    <w:rsid w:val="00365BA6"/>
    <w:rsid w:val="003678C0"/>
    <w:rsid w:val="00367EDA"/>
    <w:rsid w:val="00376FF9"/>
    <w:rsid w:val="003802C6"/>
    <w:rsid w:val="0038447A"/>
    <w:rsid w:val="00386497"/>
    <w:rsid w:val="0038693F"/>
    <w:rsid w:val="00387782"/>
    <w:rsid w:val="0039007E"/>
    <w:rsid w:val="003940A6"/>
    <w:rsid w:val="00395DC6"/>
    <w:rsid w:val="003A0115"/>
    <w:rsid w:val="003A079E"/>
    <w:rsid w:val="003A0974"/>
    <w:rsid w:val="003A1EE1"/>
    <w:rsid w:val="003A39D8"/>
    <w:rsid w:val="003A4B03"/>
    <w:rsid w:val="003A51F6"/>
    <w:rsid w:val="003A60C3"/>
    <w:rsid w:val="003A6B08"/>
    <w:rsid w:val="003B65FD"/>
    <w:rsid w:val="003C6767"/>
    <w:rsid w:val="003C7CAA"/>
    <w:rsid w:val="003D3BE5"/>
    <w:rsid w:val="003D635D"/>
    <w:rsid w:val="003D79EE"/>
    <w:rsid w:val="003D7D8D"/>
    <w:rsid w:val="003E1932"/>
    <w:rsid w:val="003E492A"/>
    <w:rsid w:val="003E7C62"/>
    <w:rsid w:val="003F03C3"/>
    <w:rsid w:val="003F0CAB"/>
    <w:rsid w:val="003F2911"/>
    <w:rsid w:val="003F2FC7"/>
    <w:rsid w:val="003F51F6"/>
    <w:rsid w:val="00405C0E"/>
    <w:rsid w:val="00411335"/>
    <w:rsid w:val="0041177E"/>
    <w:rsid w:val="00416CBC"/>
    <w:rsid w:val="00416F7E"/>
    <w:rsid w:val="00417EE4"/>
    <w:rsid w:val="0042107B"/>
    <w:rsid w:val="004210E6"/>
    <w:rsid w:val="00427DA2"/>
    <w:rsid w:val="004301EE"/>
    <w:rsid w:val="00436422"/>
    <w:rsid w:val="004367B2"/>
    <w:rsid w:val="00436951"/>
    <w:rsid w:val="00442CEF"/>
    <w:rsid w:val="0044732A"/>
    <w:rsid w:val="00447B30"/>
    <w:rsid w:val="00460EA1"/>
    <w:rsid w:val="004643B6"/>
    <w:rsid w:val="00464513"/>
    <w:rsid w:val="00465403"/>
    <w:rsid w:val="00465673"/>
    <w:rsid w:val="00471EBB"/>
    <w:rsid w:val="004724AF"/>
    <w:rsid w:val="00475A0F"/>
    <w:rsid w:val="004814ED"/>
    <w:rsid w:val="004818D8"/>
    <w:rsid w:val="0048459F"/>
    <w:rsid w:val="00484824"/>
    <w:rsid w:val="004860B9"/>
    <w:rsid w:val="004925C6"/>
    <w:rsid w:val="00492BD6"/>
    <w:rsid w:val="0049321E"/>
    <w:rsid w:val="00495320"/>
    <w:rsid w:val="00496F9D"/>
    <w:rsid w:val="004A6ABB"/>
    <w:rsid w:val="004B0693"/>
    <w:rsid w:val="004B2002"/>
    <w:rsid w:val="004B3B85"/>
    <w:rsid w:val="004C2155"/>
    <w:rsid w:val="004C78F4"/>
    <w:rsid w:val="004D07AC"/>
    <w:rsid w:val="004D195D"/>
    <w:rsid w:val="004D35A5"/>
    <w:rsid w:val="004D4B10"/>
    <w:rsid w:val="004D6815"/>
    <w:rsid w:val="004E0FC3"/>
    <w:rsid w:val="004E4906"/>
    <w:rsid w:val="004E50E0"/>
    <w:rsid w:val="004E5F5D"/>
    <w:rsid w:val="004F0585"/>
    <w:rsid w:val="004F2F4A"/>
    <w:rsid w:val="004F3155"/>
    <w:rsid w:val="004F3B0A"/>
    <w:rsid w:val="004F59DD"/>
    <w:rsid w:val="004F65C5"/>
    <w:rsid w:val="004F7F1B"/>
    <w:rsid w:val="00501ACF"/>
    <w:rsid w:val="00502337"/>
    <w:rsid w:val="00505E42"/>
    <w:rsid w:val="00510555"/>
    <w:rsid w:val="00512740"/>
    <w:rsid w:val="00514F2D"/>
    <w:rsid w:val="00516C43"/>
    <w:rsid w:val="0052650F"/>
    <w:rsid w:val="00527321"/>
    <w:rsid w:val="005344D0"/>
    <w:rsid w:val="00535061"/>
    <w:rsid w:val="00546B85"/>
    <w:rsid w:val="00547B73"/>
    <w:rsid w:val="00550F11"/>
    <w:rsid w:val="005549B7"/>
    <w:rsid w:val="00555FF9"/>
    <w:rsid w:val="005562ED"/>
    <w:rsid w:val="00557E45"/>
    <w:rsid w:val="00561A66"/>
    <w:rsid w:val="005627C1"/>
    <w:rsid w:val="00566697"/>
    <w:rsid w:val="0056752A"/>
    <w:rsid w:val="005702EC"/>
    <w:rsid w:val="005709BC"/>
    <w:rsid w:val="00570C34"/>
    <w:rsid w:val="005746F4"/>
    <w:rsid w:val="005768FA"/>
    <w:rsid w:val="005770EE"/>
    <w:rsid w:val="00577BD4"/>
    <w:rsid w:val="00583677"/>
    <w:rsid w:val="0058754E"/>
    <w:rsid w:val="005909CE"/>
    <w:rsid w:val="00590F6E"/>
    <w:rsid w:val="005A10FF"/>
    <w:rsid w:val="005A5939"/>
    <w:rsid w:val="005A70DB"/>
    <w:rsid w:val="005B14A8"/>
    <w:rsid w:val="005B322D"/>
    <w:rsid w:val="005B491E"/>
    <w:rsid w:val="005B5C94"/>
    <w:rsid w:val="005B5E18"/>
    <w:rsid w:val="005B6902"/>
    <w:rsid w:val="005B6C95"/>
    <w:rsid w:val="005B7AB8"/>
    <w:rsid w:val="005C2241"/>
    <w:rsid w:val="005C25DC"/>
    <w:rsid w:val="005D2E81"/>
    <w:rsid w:val="005D32FA"/>
    <w:rsid w:val="005D3C0B"/>
    <w:rsid w:val="005D73C3"/>
    <w:rsid w:val="005E17DA"/>
    <w:rsid w:val="005E5AAC"/>
    <w:rsid w:val="005F2D9D"/>
    <w:rsid w:val="00600108"/>
    <w:rsid w:val="00611227"/>
    <w:rsid w:val="00613DB1"/>
    <w:rsid w:val="00616D7B"/>
    <w:rsid w:val="006328FC"/>
    <w:rsid w:val="00634B47"/>
    <w:rsid w:val="00640437"/>
    <w:rsid w:val="006411F0"/>
    <w:rsid w:val="00646F35"/>
    <w:rsid w:val="00647CFC"/>
    <w:rsid w:val="0065033B"/>
    <w:rsid w:val="00653186"/>
    <w:rsid w:val="00654C18"/>
    <w:rsid w:val="006567B3"/>
    <w:rsid w:val="00664F5D"/>
    <w:rsid w:val="006717F6"/>
    <w:rsid w:val="00671CA2"/>
    <w:rsid w:val="00671D05"/>
    <w:rsid w:val="00673F9F"/>
    <w:rsid w:val="00676F2D"/>
    <w:rsid w:val="00677BDF"/>
    <w:rsid w:val="006812A5"/>
    <w:rsid w:val="006819C6"/>
    <w:rsid w:val="00683D93"/>
    <w:rsid w:val="00685455"/>
    <w:rsid w:val="00690AF8"/>
    <w:rsid w:val="00692D91"/>
    <w:rsid w:val="00693E8D"/>
    <w:rsid w:val="0069588D"/>
    <w:rsid w:val="00696840"/>
    <w:rsid w:val="006974EC"/>
    <w:rsid w:val="006A3928"/>
    <w:rsid w:val="006A51BF"/>
    <w:rsid w:val="006A6DD6"/>
    <w:rsid w:val="006B2196"/>
    <w:rsid w:val="006B4F3F"/>
    <w:rsid w:val="006B61C7"/>
    <w:rsid w:val="006B63E4"/>
    <w:rsid w:val="006B77A5"/>
    <w:rsid w:val="006B7D1B"/>
    <w:rsid w:val="006C350F"/>
    <w:rsid w:val="006C37B7"/>
    <w:rsid w:val="006C3B48"/>
    <w:rsid w:val="006E2F7D"/>
    <w:rsid w:val="006E4619"/>
    <w:rsid w:val="006E6DC7"/>
    <w:rsid w:val="006E7B83"/>
    <w:rsid w:val="006F0CB3"/>
    <w:rsid w:val="00702A2C"/>
    <w:rsid w:val="00703B87"/>
    <w:rsid w:val="00706EDD"/>
    <w:rsid w:val="00721208"/>
    <w:rsid w:val="00727C70"/>
    <w:rsid w:val="00727DD8"/>
    <w:rsid w:val="007304B1"/>
    <w:rsid w:val="0073223A"/>
    <w:rsid w:val="00733172"/>
    <w:rsid w:val="007352D7"/>
    <w:rsid w:val="0073617D"/>
    <w:rsid w:val="00737A8B"/>
    <w:rsid w:val="0074057F"/>
    <w:rsid w:val="0074208B"/>
    <w:rsid w:val="00742B0B"/>
    <w:rsid w:val="00746047"/>
    <w:rsid w:val="007460D8"/>
    <w:rsid w:val="00746F20"/>
    <w:rsid w:val="00747413"/>
    <w:rsid w:val="00751944"/>
    <w:rsid w:val="007553B5"/>
    <w:rsid w:val="00755A02"/>
    <w:rsid w:val="00755BB1"/>
    <w:rsid w:val="0076059E"/>
    <w:rsid w:val="00761BA1"/>
    <w:rsid w:val="007631CF"/>
    <w:rsid w:val="00764975"/>
    <w:rsid w:val="00767E66"/>
    <w:rsid w:val="007727E9"/>
    <w:rsid w:val="00776D31"/>
    <w:rsid w:val="00777C1A"/>
    <w:rsid w:val="0078190E"/>
    <w:rsid w:val="00784BD0"/>
    <w:rsid w:val="00795D31"/>
    <w:rsid w:val="007A3972"/>
    <w:rsid w:val="007A588B"/>
    <w:rsid w:val="007B3241"/>
    <w:rsid w:val="007B41BB"/>
    <w:rsid w:val="007C153F"/>
    <w:rsid w:val="007C76C3"/>
    <w:rsid w:val="007D16C8"/>
    <w:rsid w:val="007D7FAC"/>
    <w:rsid w:val="007E05FB"/>
    <w:rsid w:val="007E5028"/>
    <w:rsid w:val="007E643B"/>
    <w:rsid w:val="007E7778"/>
    <w:rsid w:val="007E7D95"/>
    <w:rsid w:val="007F15CC"/>
    <w:rsid w:val="007F4187"/>
    <w:rsid w:val="007F4898"/>
    <w:rsid w:val="007F68AC"/>
    <w:rsid w:val="007F72D4"/>
    <w:rsid w:val="007F7A9B"/>
    <w:rsid w:val="0080135B"/>
    <w:rsid w:val="0080296F"/>
    <w:rsid w:val="008056BE"/>
    <w:rsid w:val="00805FB3"/>
    <w:rsid w:val="00813CC7"/>
    <w:rsid w:val="00814693"/>
    <w:rsid w:val="00815215"/>
    <w:rsid w:val="008162D3"/>
    <w:rsid w:val="00816A98"/>
    <w:rsid w:val="00817845"/>
    <w:rsid w:val="00825104"/>
    <w:rsid w:val="008323C1"/>
    <w:rsid w:val="00832B23"/>
    <w:rsid w:val="00842026"/>
    <w:rsid w:val="008425E6"/>
    <w:rsid w:val="00844CB4"/>
    <w:rsid w:val="00846A28"/>
    <w:rsid w:val="008505B3"/>
    <w:rsid w:val="00854863"/>
    <w:rsid w:val="00855295"/>
    <w:rsid w:val="008574B2"/>
    <w:rsid w:val="0086084F"/>
    <w:rsid w:val="00862084"/>
    <w:rsid w:val="00865CBD"/>
    <w:rsid w:val="008673F5"/>
    <w:rsid w:val="00867565"/>
    <w:rsid w:val="008677EF"/>
    <w:rsid w:val="00873988"/>
    <w:rsid w:val="008754A3"/>
    <w:rsid w:val="00877571"/>
    <w:rsid w:val="00880D40"/>
    <w:rsid w:val="00882311"/>
    <w:rsid w:val="00882490"/>
    <w:rsid w:val="008824B9"/>
    <w:rsid w:val="00883010"/>
    <w:rsid w:val="0088303D"/>
    <w:rsid w:val="0088521A"/>
    <w:rsid w:val="00885FF4"/>
    <w:rsid w:val="00894A04"/>
    <w:rsid w:val="00895E77"/>
    <w:rsid w:val="008A5054"/>
    <w:rsid w:val="008B3945"/>
    <w:rsid w:val="008B4180"/>
    <w:rsid w:val="008B44A2"/>
    <w:rsid w:val="008B4883"/>
    <w:rsid w:val="008C2A8F"/>
    <w:rsid w:val="008C367E"/>
    <w:rsid w:val="008C54F7"/>
    <w:rsid w:val="008D35C8"/>
    <w:rsid w:val="008E3F98"/>
    <w:rsid w:val="008F0513"/>
    <w:rsid w:val="008F1994"/>
    <w:rsid w:val="008F23AE"/>
    <w:rsid w:val="008F29EE"/>
    <w:rsid w:val="008F5FBB"/>
    <w:rsid w:val="00900CC4"/>
    <w:rsid w:val="00901E83"/>
    <w:rsid w:val="009060DF"/>
    <w:rsid w:val="009123F5"/>
    <w:rsid w:val="009170E0"/>
    <w:rsid w:val="00920E3E"/>
    <w:rsid w:val="0093156B"/>
    <w:rsid w:val="00933223"/>
    <w:rsid w:val="00935F16"/>
    <w:rsid w:val="0093670B"/>
    <w:rsid w:val="009422FB"/>
    <w:rsid w:val="00946E97"/>
    <w:rsid w:val="009477ED"/>
    <w:rsid w:val="009508D0"/>
    <w:rsid w:val="00951824"/>
    <w:rsid w:val="0095692D"/>
    <w:rsid w:val="00960274"/>
    <w:rsid w:val="00963C18"/>
    <w:rsid w:val="0096582B"/>
    <w:rsid w:val="00971091"/>
    <w:rsid w:val="0097377F"/>
    <w:rsid w:val="009740AA"/>
    <w:rsid w:val="0097719E"/>
    <w:rsid w:val="009816CC"/>
    <w:rsid w:val="00982FEE"/>
    <w:rsid w:val="00987236"/>
    <w:rsid w:val="009874E1"/>
    <w:rsid w:val="00991D6F"/>
    <w:rsid w:val="009937B4"/>
    <w:rsid w:val="0099490C"/>
    <w:rsid w:val="009A2869"/>
    <w:rsid w:val="009A50E0"/>
    <w:rsid w:val="009C3529"/>
    <w:rsid w:val="009C3808"/>
    <w:rsid w:val="009C76A3"/>
    <w:rsid w:val="009D048A"/>
    <w:rsid w:val="009D0A28"/>
    <w:rsid w:val="009D1AB0"/>
    <w:rsid w:val="009E2008"/>
    <w:rsid w:val="009E5E8A"/>
    <w:rsid w:val="009E6299"/>
    <w:rsid w:val="009F1B0E"/>
    <w:rsid w:val="009F75BF"/>
    <w:rsid w:val="00A00F35"/>
    <w:rsid w:val="00A020ED"/>
    <w:rsid w:val="00A0266A"/>
    <w:rsid w:val="00A05303"/>
    <w:rsid w:val="00A101F6"/>
    <w:rsid w:val="00A10AFC"/>
    <w:rsid w:val="00A12C68"/>
    <w:rsid w:val="00A155F0"/>
    <w:rsid w:val="00A23EA3"/>
    <w:rsid w:val="00A244E7"/>
    <w:rsid w:val="00A2725D"/>
    <w:rsid w:val="00A2751F"/>
    <w:rsid w:val="00A27DF5"/>
    <w:rsid w:val="00A33984"/>
    <w:rsid w:val="00A3443A"/>
    <w:rsid w:val="00A34B5C"/>
    <w:rsid w:val="00A34FF5"/>
    <w:rsid w:val="00A368B9"/>
    <w:rsid w:val="00A45B89"/>
    <w:rsid w:val="00A47E69"/>
    <w:rsid w:val="00A53EE9"/>
    <w:rsid w:val="00A55BBF"/>
    <w:rsid w:val="00A55F30"/>
    <w:rsid w:val="00A55F8D"/>
    <w:rsid w:val="00A65284"/>
    <w:rsid w:val="00A6548C"/>
    <w:rsid w:val="00A70208"/>
    <w:rsid w:val="00A733F9"/>
    <w:rsid w:val="00A734CF"/>
    <w:rsid w:val="00A74F80"/>
    <w:rsid w:val="00A75BB6"/>
    <w:rsid w:val="00A77F96"/>
    <w:rsid w:val="00A83D0B"/>
    <w:rsid w:val="00A841E4"/>
    <w:rsid w:val="00A8472D"/>
    <w:rsid w:val="00A84900"/>
    <w:rsid w:val="00A865B4"/>
    <w:rsid w:val="00A86F07"/>
    <w:rsid w:val="00A94D03"/>
    <w:rsid w:val="00A95658"/>
    <w:rsid w:val="00A95CC2"/>
    <w:rsid w:val="00AA0B01"/>
    <w:rsid w:val="00AA5645"/>
    <w:rsid w:val="00AB1017"/>
    <w:rsid w:val="00AB5698"/>
    <w:rsid w:val="00AC1A5A"/>
    <w:rsid w:val="00AC1B48"/>
    <w:rsid w:val="00AC2F17"/>
    <w:rsid w:val="00AC5A1A"/>
    <w:rsid w:val="00AC65D9"/>
    <w:rsid w:val="00AC6FD6"/>
    <w:rsid w:val="00AD1E2B"/>
    <w:rsid w:val="00AE076C"/>
    <w:rsid w:val="00AE2735"/>
    <w:rsid w:val="00AE3427"/>
    <w:rsid w:val="00AE47B9"/>
    <w:rsid w:val="00AE5020"/>
    <w:rsid w:val="00AE5CF1"/>
    <w:rsid w:val="00AE6737"/>
    <w:rsid w:val="00AF3057"/>
    <w:rsid w:val="00AF50C7"/>
    <w:rsid w:val="00AF510D"/>
    <w:rsid w:val="00AF5335"/>
    <w:rsid w:val="00B00E7B"/>
    <w:rsid w:val="00B0488F"/>
    <w:rsid w:val="00B06B4B"/>
    <w:rsid w:val="00B076EB"/>
    <w:rsid w:val="00B1230A"/>
    <w:rsid w:val="00B16050"/>
    <w:rsid w:val="00B1669E"/>
    <w:rsid w:val="00B17CE2"/>
    <w:rsid w:val="00B2236C"/>
    <w:rsid w:val="00B24091"/>
    <w:rsid w:val="00B24441"/>
    <w:rsid w:val="00B2680C"/>
    <w:rsid w:val="00B308D0"/>
    <w:rsid w:val="00B30E86"/>
    <w:rsid w:val="00B3125B"/>
    <w:rsid w:val="00B32BAD"/>
    <w:rsid w:val="00B42E2E"/>
    <w:rsid w:val="00B45243"/>
    <w:rsid w:val="00B4549B"/>
    <w:rsid w:val="00B50543"/>
    <w:rsid w:val="00B51C18"/>
    <w:rsid w:val="00B544B9"/>
    <w:rsid w:val="00B57CF3"/>
    <w:rsid w:val="00B60386"/>
    <w:rsid w:val="00B61A9D"/>
    <w:rsid w:val="00B65CB7"/>
    <w:rsid w:val="00B7096C"/>
    <w:rsid w:val="00B724E3"/>
    <w:rsid w:val="00B802F9"/>
    <w:rsid w:val="00B8127F"/>
    <w:rsid w:val="00B81A22"/>
    <w:rsid w:val="00B85259"/>
    <w:rsid w:val="00B87FC7"/>
    <w:rsid w:val="00B92103"/>
    <w:rsid w:val="00B926C2"/>
    <w:rsid w:val="00BA1165"/>
    <w:rsid w:val="00BA1A48"/>
    <w:rsid w:val="00BA1F32"/>
    <w:rsid w:val="00BA2CC6"/>
    <w:rsid w:val="00BA71E8"/>
    <w:rsid w:val="00BA7341"/>
    <w:rsid w:val="00BB00F4"/>
    <w:rsid w:val="00BB39BB"/>
    <w:rsid w:val="00BB5157"/>
    <w:rsid w:val="00BC1342"/>
    <w:rsid w:val="00BD042F"/>
    <w:rsid w:val="00BD2A3F"/>
    <w:rsid w:val="00BD4C75"/>
    <w:rsid w:val="00BD4DB3"/>
    <w:rsid w:val="00BE2472"/>
    <w:rsid w:val="00BE3513"/>
    <w:rsid w:val="00BE38BA"/>
    <w:rsid w:val="00BE68E2"/>
    <w:rsid w:val="00BF08F9"/>
    <w:rsid w:val="00BF160F"/>
    <w:rsid w:val="00BF34D5"/>
    <w:rsid w:val="00BF3641"/>
    <w:rsid w:val="00BF4856"/>
    <w:rsid w:val="00BF5AB1"/>
    <w:rsid w:val="00BF760D"/>
    <w:rsid w:val="00C0016A"/>
    <w:rsid w:val="00C01E0E"/>
    <w:rsid w:val="00C05E98"/>
    <w:rsid w:val="00C125B2"/>
    <w:rsid w:val="00C153AC"/>
    <w:rsid w:val="00C15D1E"/>
    <w:rsid w:val="00C1632E"/>
    <w:rsid w:val="00C17DC3"/>
    <w:rsid w:val="00C21201"/>
    <w:rsid w:val="00C2248B"/>
    <w:rsid w:val="00C25092"/>
    <w:rsid w:val="00C31FAA"/>
    <w:rsid w:val="00C33C70"/>
    <w:rsid w:val="00C36F53"/>
    <w:rsid w:val="00C36F5D"/>
    <w:rsid w:val="00C378F6"/>
    <w:rsid w:val="00C4061F"/>
    <w:rsid w:val="00C40A59"/>
    <w:rsid w:val="00C42B01"/>
    <w:rsid w:val="00C43F65"/>
    <w:rsid w:val="00C46950"/>
    <w:rsid w:val="00C47B40"/>
    <w:rsid w:val="00C54BF0"/>
    <w:rsid w:val="00C54EA5"/>
    <w:rsid w:val="00C55961"/>
    <w:rsid w:val="00C6012A"/>
    <w:rsid w:val="00C67A92"/>
    <w:rsid w:val="00C73CE6"/>
    <w:rsid w:val="00C82A07"/>
    <w:rsid w:val="00C851FD"/>
    <w:rsid w:val="00C921E7"/>
    <w:rsid w:val="00C9434A"/>
    <w:rsid w:val="00C957E0"/>
    <w:rsid w:val="00C979D9"/>
    <w:rsid w:val="00CB3374"/>
    <w:rsid w:val="00CB38BF"/>
    <w:rsid w:val="00CB71E9"/>
    <w:rsid w:val="00CC2CD8"/>
    <w:rsid w:val="00CC3EBF"/>
    <w:rsid w:val="00CC75DC"/>
    <w:rsid w:val="00CD240F"/>
    <w:rsid w:val="00CD2451"/>
    <w:rsid w:val="00CE2173"/>
    <w:rsid w:val="00CE58C5"/>
    <w:rsid w:val="00CE6163"/>
    <w:rsid w:val="00CE6C2F"/>
    <w:rsid w:val="00CF0627"/>
    <w:rsid w:val="00CF3423"/>
    <w:rsid w:val="00CF3669"/>
    <w:rsid w:val="00CF4B8F"/>
    <w:rsid w:val="00CF56EB"/>
    <w:rsid w:val="00CF6126"/>
    <w:rsid w:val="00D025E1"/>
    <w:rsid w:val="00D02E7D"/>
    <w:rsid w:val="00D03DA7"/>
    <w:rsid w:val="00D13ACE"/>
    <w:rsid w:val="00D14803"/>
    <w:rsid w:val="00D148CC"/>
    <w:rsid w:val="00D15B0E"/>
    <w:rsid w:val="00D16D1D"/>
    <w:rsid w:val="00D1723D"/>
    <w:rsid w:val="00D17FB9"/>
    <w:rsid w:val="00D225CA"/>
    <w:rsid w:val="00D22C9C"/>
    <w:rsid w:val="00D306AD"/>
    <w:rsid w:val="00D31189"/>
    <w:rsid w:val="00D37EDA"/>
    <w:rsid w:val="00D455A2"/>
    <w:rsid w:val="00D47CC8"/>
    <w:rsid w:val="00D51C8B"/>
    <w:rsid w:val="00D55B5D"/>
    <w:rsid w:val="00D61841"/>
    <w:rsid w:val="00D653B4"/>
    <w:rsid w:val="00D6629F"/>
    <w:rsid w:val="00D66CBA"/>
    <w:rsid w:val="00D67CEC"/>
    <w:rsid w:val="00D73733"/>
    <w:rsid w:val="00D7412E"/>
    <w:rsid w:val="00D75AA2"/>
    <w:rsid w:val="00D76314"/>
    <w:rsid w:val="00D82CD0"/>
    <w:rsid w:val="00D84BB4"/>
    <w:rsid w:val="00D8643F"/>
    <w:rsid w:val="00D9071A"/>
    <w:rsid w:val="00D92261"/>
    <w:rsid w:val="00D93FA5"/>
    <w:rsid w:val="00D9509C"/>
    <w:rsid w:val="00D9596A"/>
    <w:rsid w:val="00D95B66"/>
    <w:rsid w:val="00D9627A"/>
    <w:rsid w:val="00DA1639"/>
    <w:rsid w:val="00DA36B9"/>
    <w:rsid w:val="00DB50A2"/>
    <w:rsid w:val="00DC54D8"/>
    <w:rsid w:val="00DD01AA"/>
    <w:rsid w:val="00DD07EC"/>
    <w:rsid w:val="00DD5C29"/>
    <w:rsid w:val="00DD7104"/>
    <w:rsid w:val="00DD7CA0"/>
    <w:rsid w:val="00DD7E62"/>
    <w:rsid w:val="00DE138D"/>
    <w:rsid w:val="00DE212D"/>
    <w:rsid w:val="00DE6260"/>
    <w:rsid w:val="00DE687B"/>
    <w:rsid w:val="00DF04D9"/>
    <w:rsid w:val="00DF685D"/>
    <w:rsid w:val="00DF75FF"/>
    <w:rsid w:val="00DF79BC"/>
    <w:rsid w:val="00E03659"/>
    <w:rsid w:val="00E052F6"/>
    <w:rsid w:val="00E064B3"/>
    <w:rsid w:val="00E10A41"/>
    <w:rsid w:val="00E13867"/>
    <w:rsid w:val="00E138FD"/>
    <w:rsid w:val="00E15C20"/>
    <w:rsid w:val="00E16CEE"/>
    <w:rsid w:val="00E177FA"/>
    <w:rsid w:val="00E203AD"/>
    <w:rsid w:val="00E22785"/>
    <w:rsid w:val="00E23323"/>
    <w:rsid w:val="00E23951"/>
    <w:rsid w:val="00E25C08"/>
    <w:rsid w:val="00E27921"/>
    <w:rsid w:val="00E30150"/>
    <w:rsid w:val="00E31E58"/>
    <w:rsid w:val="00E321FB"/>
    <w:rsid w:val="00E34C93"/>
    <w:rsid w:val="00E361DA"/>
    <w:rsid w:val="00E441AD"/>
    <w:rsid w:val="00E51FED"/>
    <w:rsid w:val="00E54CC5"/>
    <w:rsid w:val="00E55849"/>
    <w:rsid w:val="00E60C7F"/>
    <w:rsid w:val="00E60E28"/>
    <w:rsid w:val="00E638FF"/>
    <w:rsid w:val="00E66C22"/>
    <w:rsid w:val="00E67E0D"/>
    <w:rsid w:val="00E714FF"/>
    <w:rsid w:val="00E7609B"/>
    <w:rsid w:val="00E81BA6"/>
    <w:rsid w:val="00E823AB"/>
    <w:rsid w:val="00E82C65"/>
    <w:rsid w:val="00E8458F"/>
    <w:rsid w:val="00E855E5"/>
    <w:rsid w:val="00E95C94"/>
    <w:rsid w:val="00E95F8D"/>
    <w:rsid w:val="00E974C1"/>
    <w:rsid w:val="00EA29A4"/>
    <w:rsid w:val="00EB1411"/>
    <w:rsid w:val="00EB3831"/>
    <w:rsid w:val="00EB7FCB"/>
    <w:rsid w:val="00EC2738"/>
    <w:rsid w:val="00EC369D"/>
    <w:rsid w:val="00EC46A1"/>
    <w:rsid w:val="00EC68B7"/>
    <w:rsid w:val="00ED4305"/>
    <w:rsid w:val="00ED7A67"/>
    <w:rsid w:val="00EE017B"/>
    <w:rsid w:val="00EE045A"/>
    <w:rsid w:val="00EE194F"/>
    <w:rsid w:val="00EE31BD"/>
    <w:rsid w:val="00EF2688"/>
    <w:rsid w:val="00F010B2"/>
    <w:rsid w:val="00F02CC8"/>
    <w:rsid w:val="00F056A6"/>
    <w:rsid w:val="00F1129C"/>
    <w:rsid w:val="00F13404"/>
    <w:rsid w:val="00F14D78"/>
    <w:rsid w:val="00F1540D"/>
    <w:rsid w:val="00F157E8"/>
    <w:rsid w:val="00F212B6"/>
    <w:rsid w:val="00F21E2C"/>
    <w:rsid w:val="00F23937"/>
    <w:rsid w:val="00F264A2"/>
    <w:rsid w:val="00F268CC"/>
    <w:rsid w:val="00F33AE4"/>
    <w:rsid w:val="00F362E6"/>
    <w:rsid w:val="00F40989"/>
    <w:rsid w:val="00F412DB"/>
    <w:rsid w:val="00F5410D"/>
    <w:rsid w:val="00F555BD"/>
    <w:rsid w:val="00F56EF1"/>
    <w:rsid w:val="00F61430"/>
    <w:rsid w:val="00F617B7"/>
    <w:rsid w:val="00F66428"/>
    <w:rsid w:val="00F66CF2"/>
    <w:rsid w:val="00F72AF2"/>
    <w:rsid w:val="00F73052"/>
    <w:rsid w:val="00F73865"/>
    <w:rsid w:val="00F750DE"/>
    <w:rsid w:val="00F77F1F"/>
    <w:rsid w:val="00F815C0"/>
    <w:rsid w:val="00F82980"/>
    <w:rsid w:val="00F83567"/>
    <w:rsid w:val="00F871B6"/>
    <w:rsid w:val="00F87CA7"/>
    <w:rsid w:val="00F90240"/>
    <w:rsid w:val="00F90C28"/>
    <w:rsid w:val="00F91AF4"/>
    <w:rsid w:val="00F96DC6"/>
    <w:rsid w:val="00FA5EE7"/>
    <w:rsid w:val="00FA63CA"/>
    <w:rsid w:val="00FA64B1"/>
    <w:rsid w:val="00FA70EC"/>
    <w:rsid w:val="00FB3EE9"/>
    <w:rsid w:val="00FB6554"/>
    <w:rsid w:val="00FB71FB"/>
    <w:rsid w:val="00FC1B4E"/>
    <w:rsid w:val="00FC1D62"/>
    <w:rsid w:val="00FC3235"/>
    <w:rsid w:val="00FD3351"/>
    <w:rsid w:val="00FD7D17"/>
    <w:rsid w:val="00FE370F"/>
    <w:rsid w:val="00FE37C7"/>
    <w:rsid w:val="00FF1896"/>
    <w:rsid w:val="00FF3AE1"/>
    <w:rsid w:val="00FF426E"/>
    <w:rsid w:val="00FF4871"/>
    <w:rsid w:val="00FF73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A5B"/>
  <w15:docId w15:val="{F3120F33-9E44-4A59-8A4E-E656DFF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13"/>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aliases w:val="texto de nota al pie Car,Footnote Text Char Car,Footnote Text Char Char Char Char Char Char Char Char Car"/>
    <w:basedOn w:val="Fuentedeprrafopredeter"/>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Revisin">
    <w:name w:val="Revision"/>
    <w:hidden/>
    <w:uiPriority w:val="99"/>
    <w:semiHidden/>
    <w:rsid w:val="00A00F35"/>
    <w:rPr>
      <w:lang w:val="es-ES_tradnl" w:eastAsia="es-ES"/>
    </w:rPr>
  </w:style>
  <w:style w:type="paragraph" w:styleId="Textoindependiente3">
    <w:name w:val="Body Text 3"/>
    <w:basedOn w:val="Normal"/>
    <w:link w:val="Textoindependiente3Car"/>
    <w:semiHidden/>
    <w:rsid w:val="00B802F9"/>
    <w:pPr>
      <w:ind w:right="-187"/>
      <w:jc w:val="both"/>
    </w:pPr>
    <w:rPr>
      <w:rFonts w:ascii="Arial" w:hAnsi="Arial" w:cs="Arial"/>
      <w:sz w:val="24"/>
      <w:szCs w:val="24"/>
      <w:lang w:val="es-ES"/>
    </w:rPr>
  </w:style>
  <w:style w:type="character" w:customStyle="1" w:styleId="Textoindependiente3Car">
    <w:name w:val="Texto independiente 3 Car"/>
    <w:basedOn w:val="Fuentedeprrafopredeter"/>
    <w:link w:val="Textoindependiente3"/>
    <w:semiHidden/>
    <w:rsid w:val="00B802F9"/>
    <w:rPr>
      <w:rFonts w:ascii="Arial" w:hAnsi="Arial" w:cs="Arial"/>
      <w:sz w:val="24"/>
      <w:szCs w:val="24"/>
      <w:lang w:val="es-ES" w:eastAsia="es-ES"/>
    </w:rPr>
  </w:style>
  <w:style w:type="paragraph" w:styleId="Textosinformato">
    <w:name w:val="Plain Text"/>
    <w:basedOn w:val="Normal"/>
    <w:link w:val="TextosinformatoCar"/>
    <w:semiHidden/>
    <w:rsid w:val="00B802F9"/>
    <w:rPr>
      <w:rFonts w:ascii="Courier New" w:hAnsi="Courier New" w:cs="Courier New"/>
      <w:lang w:val="es-ES"/>
    </w:rPr>
  </w:style>
  <w:style w:type="character" w:customStyle="1" w:styleId="TextosinformatoCar">
    <w:name w:val="Texto sin formato Car"/>
    <w:basedOn w:val="Fuentedeprrafopredeter"/>
    <w:link w:val="Textosinformato"/>
    <w:semiHidden/>
    <w:rsid w:val="00B802F9"/>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218907325">
      <w:bodyDiv w:val="1"/>
      <w:marLeft w:val="0"/>
      <w:marRight w:val="0"/>
      <w:marTop w:val="0"/>
      <w:marBottom w:val="0"/>
      <w:divBdr>
        <w:top w:val="none" w:sz="0" w:space="0" w:color="auto"/>
        <w:left w:val="none" w:sz="0" w:space="0" w:color="auto"/>
        <w:bottom w:val="none" w:sz="0" w:space="0" w:color="auto"/>
        <w:right w:val="none" w:sz="0" w:space="0" w:color="auto"/>
      </w:divBdr>
    </w:div>
    <w:div w:id="233660410">
      <w:bodyDiv w:val="1"/>
      <w:marLeft w:val="0"/>
      <w:marRight w:val="0"/>
      <w:marTop w:val="0"/>
      <w:marBottom w:val="0"/>
      <w:divBdr>
        <w:top w:val="none" w:sz="0" w:space="0" w:color="auto"/>
        <w:left w:val="none" w:sz="0" w:space="0" w:color="auto"/>
        <w:bottom w:val="none" w:sz="0" w:space="0" w:color="auto"/>
        <w:right w:val="none" w:sz="0" w:space="0" w:color="auto"/>
      </w:divBdr>
    </w:div>
    <w:div w:id="488328844">
      <w:bodyDiv w:val="1"/>
      <w:marLeft w:val="0"/>
      <w:marRight w:val="0"/>
      <w:marTop w:val="0"/>
      <w:marBottom w:val="0"/>
      <w:divBdr>
        <w:top w:val="none" w:sz="0" w:space="0" w:color="auto"/>
        <w:left w:val="none" w:sz="0" w:space="0" w:color="auto"/>
        <w:bottom w:val="none" w:sz="0" w:space="0" w:color="auto"/>
        <w:right w:val="none" w:sz="0" w:space="0" w:color="auto"/>
      </w:divBdr>
    </w:div>
    <w:div w:id="730811363">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196768564">
      <w:bodyDiv w:val="1"/>
      <w:marLeft w:val="0"/>
      <w:marRight w:val="0"/>
      <w:marTop w:val="0"/>
      <w:marBottom w:val="0"/>
      <w:divBdr>
        <w:top w:val="none" w:sz="0" w:space="0" w:color="auto"/>
        <w:left w:val="none" w:sz="0" w:space="0" w:color="auto"/>
        <w:bottom w:val="none" w:sz="0" w:space="0" w:color="auto"/>
        <w:right w:val="none" w:sz="0" w:space="0" w:color="auto"/>
      </w:divBdr>
    </w:div>
    <w:div w:id="1533491321">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vhernandez@shd.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azos@shd.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customXml/itemProps3.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4.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3062</Words>
  <Characters>16846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19869</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dc:description/>
  <cp:lastModifiedBy>Liliana del Socorro Pérez Alarcon</cp:lastModifiedBy>
  <cp:revision>2</cp:revision>
  <cp:lastPrinted>2020-02-07T14:13:00Z</cp:lastPrinted>
  <dcterms:created xsi:type="dcterms:W3CDTF">2022-02-01T19:41:00Z</dcterms:created>
  <dcterms:modified xsi:type="dcterms:W3CDTF">2022-02-01T19:41:00Z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