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EAFC1" w14:textId="77777777" w:rsidR="004B5D6C" w:rsidRPr="009018D2" w:rsidRDefault="004B5D6C" w:rsidP="009018D2">
      <w:pPr>
        <w:spacing w:after="0" w:line="240" w:lineRule="auto"/>
        <w:jc w:val="both"/>
        <w:rPr>
          <w:rFonts w:ascii="Arial" w:hAnsi="Arial" w:cs="Arial"/>
          <w:sz w:val="24"/>
          <w:szCs w:val="24"/>
        </w:rPr>
      </w:pPr>
    </w:p>
    <w:p w14:paraId="29599A2E" w14:textId="4A38205F" w:rsidR="00171E49" w:rsidRPr="009018D2" w:rsidRDefault="00171E49" w:rsidP="009018D2">
      <w:pPr>
        <w:spacing w:after="0" w:line="240" w:lineRule="auto"/>
        <w:jc w:val="both"/>
        <w:rPr>
          <w:rFonts w:ascii="Arial" w:hAnsi="Arial" w:cs="Arial"/>
          <w:sz w:val="24"/>
          <w:szCs w:val="24"/>
        </w:rPr>
      </w:pPr>
      <w:r w:rsidRPr="009018D2">
        <w:rPr>
          <w:rFonts w:ascii="Arial" w:hAnsi="Arial" w:cs="Arial"/>
          <w:sz w:val="24"/>
          <w:szCs w:val="24"/>
        </w:rPr>
        <w:t xml:space="preserve">Bogotá D.C., </w:t>
      </w:r>
    </w:p>
    <w:p w14:paraId="6D7C9520" w14:textId="77777777" w:rsidR="00171E49" w:rsidRPr="009018D2" w:rsidRDefault="00171E49" w:rsidP="009018D2">
      <w:pPr>
        <w:spacing w:after="0" w:line="240" w:lineRule="auto"/>
        <w:jc w:val="both"/>
        <w:rPr>
          <w:rFonts w:ascii="Arial" w:hAnsi="Arial" w:cs="Arial"/>
          <w:sz w:val="24"/>
          <w:szCs w:val="24"/>
        </w:rPr>
      </w:pPr>
    </w:p>
    <w:p w14:paraId="5F71D23A" w14:textId="1F0FF4DE" w:rsidR="00171E49" w:rsidRPr="009018D2" w:rsidRDefault="00171E49" w:rsidP="009018D2">
      <w:pPr>
        <w:spacing w:after="0" w:line="240" w:lineRule="auto"/>
        <w:jc w:val="both"/>
        <w:rPr>
          <w:rFonts w:ascii="Arial" w:hAnsi="Arial" w:cs="Arial"/>
          <w:sz w:val="24"/>
          <w:szCs w:val="24"/>
        </w:rPr>
      </w:pPr>
      <w:r w:rsidRPr="009018D2">
        <w:rPr>
          <w:rFonts w:ascii="Arial" w:hAnsi="Arial" w:cs="Arial"/>
          <w:sz w:val="24"/>
          <w:szCs w:val="24"/>
        </w:rPr>
        <w:t>Doctor</w:t>
      </w:r>
    </w:p>
    <w:p w14:paraId="2ACABCBD" w14:textId="51F780AB" w:rsidR="008B529F" w:rsidRPr="009018D2" w:rsidRDefault="008B529F" w:rsidP="009018D2">
      <w:pPr>
        <w:spacing w:after="0" w:line="240" w:lineRule="auto"/>
        <w:jc w:val="both"/>
        <w:rPr>
          <w:rFonts w:ascii="Arial" w:hAnsi="Arial" w:cs="Arial"/>
          <w:sz w:val="24"/>
          <w:szCs w:val="24"/>
        </w:rPr>
      </w:pPr>
      <w:r w:rsidRPr="009018D2">
        <w:rPr>
          <w:rFonts w:ascii="Arial" w:hAnsi="Arial" w:cs="Arial"/>
          <w:sz w:val="24"/>
          <w:szCs w:val="24"/>
        </w:rPr>
        <w:t>Reinaldo Cabezas Cuellar</w:t>
      </w:r>
    </w:p>
    <w:p w14:paraId="2C9AE09A" w14:textId="17A20F92" w:rsidR="00171E49" w:rsidRPr="009018D2" w:rsidRDefault="00513B48" w:rsidP="009018D2">
      <w:pPr>
        <w:spacing w:after="0" w:line="240" w:lineRule="auto"/>
        <w:jc w:val="both"/>
        <w:rPr>
          <w:rFonts w:ascii="Arial" w:hAnsi="Arial" w:cs="Arial"/>
          <w:sz w:val="24"/>
          <w:szCs w:val="24"/>
        </w:rPr>
      </w:pPr>
      <w:r w:rsidRPr="009018D2">
        <w:rPr>
          <w:rFonts w:ascii="Arial" w:hAnsi="Arial" w:cs="Arial"/>
        </w:rPr>
        <w:t>Subdirector de Gestión Contable de Hacienda</w:t>
      </w:r>
    </w:p>
    <w:p w14:paraId="445543C2" w14:textId="71E7AEE0" w:rsidR="00171E49" w:rsidRPr="009018D2" w:rsidRDefault="0030775A" w:rsidP="009018D2">
      <w:pPr>
        <w:spacing w:after="0" w:line="240" w:lineRule="auto"/>
        <w:jc w:val="both"/>
        <w:rPr>
          <w:rFonts w:ascii="Arial" w:hAnsi="Arial" w:cs="Arial"/>
          <w:sz w:val="24"/>
          <w:szCs w:val="24"/>
        </w:rPr>
      </w:pPr>
      <w:r w:rsidRPr="009018D2">
        <w:rPr>
          <w:rFonts w:ascii="Arial" w:hAnsi="Arial" w:cs="Arial"/>
          <w:sz w:val="24"/>
          <w:szCs w:val="24"/>
        </w:rPr>
        <w:t xml:space="preserve">Dirección Distrital de </w:t>
      </w:r>
      <w:r w:rsidR="00513B48" w:rsidRPr="009018D2">
        <w:rPr>
          <w:rFonts w:ascii="Arial" w:hAnsi="Arial" w:cs="Arial"/>
          <w:sz w:val="24"/>
          <w:szCs w:val="24"/>
        </w:rPr>
        <w:t xml:space="preserve"> Contabilidad </w:t>
      </w:r>
    </w:p>
    <w:p w14:paraId="15F3442F" w14:textId="6802F030" w:rsidR="001540F1" w:rsidRPr="009018D2" w:rsidRDefault="001540F1" w:rsidP="009018D2">
      <w:pPr>
        <w:spacing w:after="0" w:line="240" w:lineRule="auto"/>
        <w:jc w:val="both"/>
        <w:rPr>
          <w:rFonts w:ascii="Arial" w:hAnsi="Arial" w:cs="Arial"/>
          <w:sz w:val="24"/>
          <w:szCs w:val="24"/>
        </w:rPr>
      </w:pPr>
      <w:r w:rsidRPr="009018D2">
        <w:rPr>
          <w:rFonts w:ascii="Arial" w:hAnsi="Arial" w:cs="Arial"/>
          <w:sz w:val="24"/>
          <w:szCs w:val="24"/>
        </w:rPr>
        <w:t>Secretaría Distrital de Hacienda</w:t>
      </w:r>
    </w:p>
    <w:p w14:paraId="53C549A9" w14:textId="3152854A" w:rsidR="001540F1" w:rsidRPr="009018D2" w:rsidRDefault="001540F1" w:rsidP="009018D2">
      <w:pPr>
        <w:spacing w:after="0" w:line="240" w:lineRule="auto"/>
        <w:jc w:val="both"/>
        <w:rPr>
          <w:rFonts w:ascii="Arial" w:hAnsi="Arial" w:cs="Arial"/>
          <w:sz w:val="24"/>
          <w:szCs w:val="24"/>
        </w:rPr>
      </w:pPr>
      <w:r w:rsidRPr="009018D2">
        <w:rPr>
          <w:rFonts w:ascii="Arial" w:hAnsi="Arial" w:cs="Arial"/>
          <w:sz w:val="24"/>
          <w:szCs w:val="24"/>
        </w:rPr>
        <w:t>Nit: 899.999.061-9</w:t>
      </w:r>
    </w:p>
    <w:p w14:paraId="16154BC9" w14:textId="21C0F622" w:rsidR="00171E49" w:rsidRPr="009018D2" w:rsidRDefault="00171E49" w:rsidP="009018D2">
      <w:pPr>
        <w:spacing w:after="0" w:line="240" w:lineRule="auto"/>
        <w:jc w:val="both"/>
        <w:rPr>
          <w:rFonts w:ascii="Arial" w:hAnsi="Arial" w:cs="Arial"/>
          <w:sz w:val="24"/>
          <w:szCs w:val="24"/>
        </w:rPr>
      </w:pPr>
      <w:r w:rsidRPr="009018D2">
        <w:rPr>
          <w:rFonts w:ascii="Arial" w:hAnsi="Arial" w:cs="Arial"/>
          <w:sz w:val="24"/>
          <w:szCs w:val="24"/>
        </w:rPr>
        <w:t xml:space="preserve">Carrera 30 </w:t>
      </w:r>
      <w:r w:rsidR="001540F1" w:rsidRPr="009018D2">
        <w:rPr>
          <w:rFonts w:ascii="Arial" w:hAnsi="Arial" w:cs="Arial"/>
          <w:sz w:val="24"/>
          <w:szCs w:val="24"/>
        </w:rPr>
        <w:t>No</w:t>
      </w:r>
      <w:r w:rsidRPr="009018D2">
        <w:rPr>
          <w:rFonts w:ascii="Arial" w:hAnsi="Arial" w:cs="Arial"/>
          <w:sz w:val="24"/>
          <w:szCs w:val="24"/>
        </w:rPr>
        <w:t>. 25 - 90</w:t>
      </w:r>
    </w:p>
    <w:p w14:paraId="5AE9D1BF" w14:textId="5300F22A" w:rsidR="001540F1" w:rsidRPr="009018D2" w:rsidRDefault="001540F1" w:rsidP="009018D2">
      <w:pPr>
        <w:spacing w:after="0" w:line="240" w:lineRule="auto"/>
        <w:jc w:val="both"/>
        <w:rPr>
          <w:rFonts w:ascii="Arial" w:hAnsi="Arial" w:cs="Arial"/>
          <w:sz w:val="24"/>
          <w:szCs w:val="24"/>
        </w:rPr>
      </w:pPr>
      <w:r w:rsidRPr="009018D2">
        <w:rPr>
          <w:rFonts w:ascii="Arial" w:hAnsi="Arial" w:cs="Arial"/>
          <w:sz w:val="24"/>
          <w:szCs w:val="24"/>
        </w:rPr>
        <w:t xml:space="preserve">Correo electrónico: </w:t>
      </w:r>
      <w:r w:rsidR="00FC3599" w:rsidRPr="009018D2">
        <w:rPr>
          <w:rFonts w:ascii="Arial" w:hAnsi="Arial" w:cs="Arial"/>
          <w:sz w:val="24"/>
          <w:szCs w:val="24"/>
        </w:rPr>
        <w:t xml:space="preserve"> </w:t>
      </w:r>
      <w:r w:rsidR="00261D90" w:rsidRPr="009018D2">
        <w:rPr>
          <w:rFonts w:ascii="Arial" w:hAnsi="Arial" w:cs="Arial"/>
          <w:sz w:val="24"/>
          <w:szCs w:val="24"/>
        </w:rPr>
        <w:t>rcabezas@shd.gov.co</w:t>
      </w:r>
    </w:p>
    <w:p w14:paraId="4A091D7C" w14:textId="77777777" w:rsidR="00171E49" w:rsidRPr="009018D2" w:rsidRDefault="00171E49" w:rsidP="009018D2">
      <w:pPr>
        <w:spacing w:after="0" w:line="240" w:lineRule="auto"/>
        <w:jc w:val="both"/>
        <w:rPr>
          <w:rFonts w:ascii="Arial" w:hAnsi="Arial" w:cs="Arial"/>
          <w:sz w:val="24"/>
          <w:szCs w:val="24"/>
        </w:rPr>
      </w:pPr>
      <w:r w:rsidRPr="009018D2">
        <w:rPr>
          <w:rFonts w:ascii="Arial" w:hAnsi="Arial" w:cs="Arial"/>
          <w:sz w:val="24"/>
          <w:szCs w:val="24"/>
        </w:rPr>
        <w:t>Bogotá</w:t>
      </w:r>
    </w:p>
    <w:p w14:paraId="4D64EB86" w14:textId="77777777" w:rsidR="00171E49" w:rsidRPr="009018D2" w:rsidRDefault="00171E49" w:rsidP="009018D2">
      <w:pPr>
        <w:spacing w:after="0" w:line="240" w:lineRule="auto"/>
        <w:jc w:val="both"/>
        <w:rPr>
          <w:rFonts w:ascii="Arial" w:hAnsi="Arial" w:cs="Arial"/>
          <w:sz w:val="24"/>
          <w:szCs w:val="24"/>
        </w:rPr>
      </w:pPr>
    </w:p>
    <w:p w14:paraId="07F9B74A" w14:textId="77777777" w:rsidR="00FC3599" w:rsidRPr="009018D2" w:rsidRDefault="001540F1" w:rsidP="009018D2">
      <w:pPr>
        <w:tabs>
          <w:tab w:val="center" w:pos="4394"/>
          <w:tab w:val="right" w:pos="8789"/>
        </w:tabs>
        <w:spacing w:after="0" w:line="240" w:lineRule="auto"/>
        <w:rPr>
          <w:rFonts w:ascii="Arial" w:hAnsi="Arial" w:cs="Arial"/>
          <w:b/>
          <w:sz w:val="24"/>
          <w:szCs w:val="24"/>
        </w:rPr>
      </w:pPr>
      <w:r w:rsidRPr="009018D2">
        <w:rPr>
          <w:rFonts w:ascii="Arial" w:hAnsi="Arial" w:cs="Arial"/>
          <w:b/>
          <w:sz w:val="24"/>
          <w:szCs w:val="24"/>
        </w:rPr>
        <w:tab/>
        <w:t xml:space="preserve">CONCEPTO </w:t>
      </w:r>
    </w:p>
    <w:p w14:paraId="5CC0C1CB" w14:textId="77777777" w:rsidR="00FC3599" w:rsidRPr="009018D2" w:rsidRDefault="00FC3599" w:rsidP="009018D2">
      <w:pPr>
        <w:tabs>
          <w:tab w:val="center" w:pos="4394"/>
          <w:tab w:val="right" w:pos="8789"/>
        </w:tabs>
        <w:spacing w:after="0" w:line="240" w:lineRule="auto"/>
        <w:rPr>
          <w:rFonts w:ascii="Arial" w:hAnsi="Arial" w:cs="Arial"/>
          <w:b/>
          <w:sz w:val="24"/>
          <w:szCs w:val="24"/>
        </w:rPr>
      </w:pPr>
    </w:p>
    <w:p w14:paraId="2D91F9FE" w14:textId="283D8FC2" w:rsidR="001540F1" w:rsidRPr="009018D2" w:rsidRDefault="001540F1" w:rsidP="009018D2">
      <w:pPr>
        <w:tabs>
          <w:tab w:val="center" w:pos="4394"/>
          <w:tab w:val="right" w:pos="8789"/>
        </w:tabs>
        <w:spacing w:after="0" w:line="240" w:lineRule="auto"/>
        <w:rPr>
          <w:rFonts w:ascii="Arial" w:hAnsi="Arial" w:cs="Arial"/>
          <w:sz w:val="24"/>
          <w:szCs w:val="24"/>
        </w:rPr>
      </w:pPr>
      <w:r w:rsidRPr="009018D2">
        <w:rPr>
          <w:rFonts w:ascii="Arial" w:hAnsi="Arial" w:cs="Arial"/>
          <w:b/>
          <w:sz w:val="24"/>
          <w:szCs w:val="24"/>
        </w:rPr>
        <w:tab/>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663"/>
      </w:tblGrid>
      <w:tr w:rsidR="009018D2" w:rsidRPr="009018D2" w14:paraId="23CAD801" w14:textId="77777777" w:rsidTr="00AB222F">
        <w:tc>
          <w:tcPr>
            <w:tcW w:w="2155" w:type="dxa"/>
            <w:shd w:val="clear" w:color="auto" w:fill="auto"/>
          </w:tcPr>
          <w:p w14:paraId="5430603C" w14:textId="4E88219D" w:rsidR="00121598" w:rsidRPr="009018D2" w:rsidRDefault="00121598" w:rsidP="009018D2">
            <w:pPr>
              <w:spacing w:after="0" w:line="240" w:lineRule="auto"/>
              <w:rPr>
                <w:rFonts w:ascii="Arial" w:hAnsi="Arial" w:cs="Arial"/>
              </w:rPr>
            </w:pPr>
            <w:r w:rsidRPr="009018D2">
              <w:rPr>
                <w:rFonts w:ascii="Arial" w:hAnsi="Arial" w:cs="Arial"/>
              </w:rPr>
              <w:t>Referencia</w:t>
            </w:r>
          </w:p>
        </w:tc>
        <w:tc>
          <w:tcPr>
            <w:tcW w:w="6663" w:type="dxa"/>
            <w:shd w:val="clear" w:color="auto" w:fill="auto"/>
          </w:tcPr>
          <w:p w14:paraId="5EE8CB44" w14:textId="031FA54F" w:rsidR="00121598" w:rsidRPr="009018D2" w:rsidRDefault="00121598" w:rsidP="009018D2">
            <w:pPr>
              <w:spacing w:after="0" w:line="240" w:lineRule="auto"/>
              <w:jc w:val="both"/>
              <w:rPr>
                <w:rFonts w:ascii="Arial" w:hAnsi="Arial" w:cs="Arial"/>
                <w:highlight w:val="yellow"/>
              </w:rPr>
            </w:pPr>
            <w:r w:rsidRPr="009018D2">
              <w:rPr>
                <w:rFonts w:ascii="Arial" w:hAnsi="Arial" w:cs="Arial"/>
              </w:rPr>
              <w:t>2021IE</w:t>
            </w:r>
            <w:r w:rsidR="00E626C9" w:rsidRPr="009018D2">
              <w:rPr>
                <w:rFonts w:ascii="Arial" w:hAnsi="Arial" w:cs="Arial"/>
              </w:rPr>
              <w:t>023046O1</w:t>
            </w:r>
            <w:r w:rsidR="00E44AEC" w:rsidRPr="009018D2">
              <w:rPr>
                <w:rFonts w:ascii="Arial" w:hAnsi="Arial" w:cs="Arial"/>
              </w:rPr>
              <w:t xml:space="preserve">     </w:t>
            </w:r>
          </w:p>
        </w:tc>
      </w:tr>
      <w:tr w:rsidR="009018D2" w:rsidRPr="009018D2" w14:paraId="14B13A74" w14:textId="77777777" w:rsidTr="00AB222F">
        <w:tc>
          <w:tcPr>
            <w:tcW w:w="2155" w:type="dxa"/>
            <w:shd w:val="clear" w:color="auto" w:fill="auto"/>
          </w:tcPr>
          <w:p w14:paraId="37CD7235" w14:textId="2859AFBA" w:rsidR="00121598" w:rsidRPr="009018D2" w:rsidRDefault="00121598" w:rsidP="009018D2">
            <w:pPr>
              <w:spacing w:after="0" w:line="240" w:lineRule="auto"/>
              <w:rPr>
                <w:rFonts w:ascii="Arial" w:hAnsi="Arial" w:cs="Arial"/>
              </w:rPr>
            </w:pPr>
            <w:r w:rsidRPr="009018D2">
              <w:rPr>
                <w:rFonts w:ascii="Arial" w:hAnsi="Arial" w:cs="Arial"/>
              </w:rPr>
              <w:t xml:space="preserve">Descriptor general </w:t>
            </w:r>
          </w:p>
        </w:tc>
        <w:tc>
          <w:tcPr>
            <w:tcW w:w="6663" w:type="dxa"/>
            <w:shd w:val="clear" w:color="auto" w:fill="auto"/>
          </w:tcPr>
          <w:p w14:paraId="5FA33EE8" w14:textId="5A616804" w:rsidR="00121598" w:rsidRPr="009018D2" w:rsidRDefault="00736ADB" w:rsidP="009018D2">
            <w:pPr>
              <w:spacing w:after="0" w:line="240" w:lineRule="auto"/>
              <w:jc w:val="both"/>
              <w:rPr>
                <w:rFonts w:ascii="Arial" w:hAnsi="Arial" w:cs="Arial"/>
              </w:rPr>
            </w:pPr>
            <w:r w:rsidRPr="009018D2">
              <w:rPr>
                <w:rFonts w:ascii="Arial" w:hAnsi="Arial" w:cs="Arial"/>
              </w:rPr>
              <w:t xml:space="preserve">Contabilidad </w:t>
            </w:r>
          </w:p>
        </w:tc>
      </w:tr>
      <w:tr w:rsidR="009018D2" w:rsidRPr="009018D2" w14:paraId="323D84B5" w14:textId="77777777" w:rsidTr="00AB222F">
        <w:tc>
          <w:tcPr>
            <w:tcW w:w="2155" w:type="dxa"/>
            <w:shd w:val="clear" w:color="auto" w:fill="auto"/>
          </w:tcPr>
          <w:p w14:paraId="13B737CF" w14:textId="77777777" w:rsidR="00121598" w:rsidRPr="009018D2" w:rsidRDefault="00121598" w:rsidP="009018D2">
            <w:pPr>
              <w:spacing w:after="0" w:line="240" w:lineRule="auto"/>
              <w:rPr>
                <w:rFonts w:ascii="Arial" w:hAnsi="Arial" w:cs="Arial"/>
              </w:rPr>
            </w:pPr>
            <w:r w:rsidRPr="009018D2">
              <w:rPr>
                <w:rFonts w:ascii="Arial" w:hAnsi="Arial" w:cs="Arial"/>
              </w:rPr>
              <w:t>Descriptores especiales</w:t>
            </w:r>
          </w:p>
          <w:p w14:paraId="6E1C2464" w14:textId="48049A0A" w:rsidR="00121598" w:rsidRPr="009018D2" w:rsidRDefault="00121598" w:rsidP="009018D2">
            <w:pPr>
              <w:spacing w:after="0" w:line="240" w:lineRule="auto"/>
              <w:rPr>
                <w:rFonts w:ascii="Arial" w:hAnsi="Arial" w:cs="Arial"/>
              </w:rPr>
            </w:pPr>
          </w:p>
        </w:tc>
        <w:tc>
          <w:tcPr>
            <w:tcW w:w="6663" w:type="dxa"/>
            <w:shd w:val="clear" w:color="auto" w:fill="auto"/>
          </w:tcPr>
          <w:p w14:paraId="48AD0FA2" w14:textId="743F0ECF" w:rsidR="00121598" w:rsidRPr="009018D2" w:rsidRDefault="0032571B" w:rsidP="009018D2">
            <w:pPr>
              <w:spacing w:after="0" w:line="240" w:lineRule="auto"/>
              <w:jc w:val="both"/>
              <w:rPr>
                <w:rFonts w:ascii="Arial" w:hAnsi="Arial" w:cs="Arial"/>
              </w:rPr>
            </w:pPr>
            <w:r>
              <w:rPr>
                <w:rFonts w:ascii="Arial" w:hAnsi="Arial" w:cs="Arial"/>
              </w:rPr>
              <w:t xml:space="preserve">Depuración contable. </w:t>
            </w:r>
            <w:r w:rsidR="00736ADB" w:rsidRPr="009018D2">
              <w:rPr>
                <w:rFonts w:ascii="Arial" w:hAnsi="Arial" w:cs="Arial"/>
              </w:rPr>
              <w:t>Actualización financiera</w:t>
            </w:r>
            <w:r w:rsidR="00AC6D2B">
              <w:rPr>
                <w:rFonts w:ascii="Arial" w:hAnsi="Arial" w:cs="Arial"/>
              </w:rPr>
              <w:t xml:space="preserve"> de datos</w:t>
            </w:r>
            <w:r w:rsidR="00736ADB" w:rsidRPr="009018D2">
              <w:rPr>
                <w:rFonts w:ascii="Arial" w:hAnsi="Arial" w:cs="Arial"/>
              </w:rPr>
              <w:t xml:space="preserve">. Conciliaciones </w:t>
            </w:r>
            <w:r w:rsidR="00415383" w:rsidRPr="009018D2">
              <w:rPr>
                <w:rFonts w:ascii="Arial" w:hAnsi="Arial" w:cs="Arial"/>
              </w:rPr>
              <w:t xml:space="preserve">bancarias </w:t>
            </w:r>
          </w:p>
        </w:tc>
      </w:tr>
      <w:tr w:rsidR="009018D2" w:rsidRPr="009018D2" w14:paraId="6007BD94" w14:textId="77777777" w:rsidTr="00AB222F">
        <w:tc>
          <w:tcPr>
            <w:tcW w:w="2155" w:type="dxa"/>
            <w:shd w:val="clear" w:color="auto" w:fill="auto"/>
          </w:tcPr>
          <w:p w14:paraId="739654AF" w14:textId="77777777" w:rsidR="00121598" w:rsidRPr="009018D2" w:rsidRDefault="00121598" w:rsidP="009018D2">
            <w:pPr>
              <w:tabs>
                <w:tab w:val="left" w:pos="717"/>
              </w:tabs>
              <w:spacing w:after="0" w:line="240" w:lineRule="auto"/>
              <w:rPr>
                <w:rFonts w:ascii="Arial" w:hAnsi="Arial" w:cs="Arial"/>
              </w:rPr>
            </w:pPr>
            <w:r w:rsidRPr="009018D2">
              <w:rPr>
                <w:rFonts w:ascii="Arial" w:hAnsi="Arial" w:cs="Arial"/>
              </w:rPr>
              <w:t>Problema jurídico</w:t>
            </w:r>
          </w:p>
          <w:p w14:paraId="7D18D8D6" w14:textId="34AA0481" w:rsidR="00121598" w:rsidRPr="009018D2" w:rsidRDefault="00121598" w:rsidP="009018D2">
            <w:pPr>
              <w:tabs>
                <w:tab w:val="left" w:pos="717"/>
              </w:tabs>
              <w:spacing w:after="0" w:line="240" w:lineRule="auto"/>
              <w:rPr>
                <w:rFonts w:ascii="Arial" w:hAnsi="Arial" w:cs="Arial"/>
              </w:rPr>
            </w:pPr>
          </w:p>
        </w:tc>
        <w:tc>
          <w:tcPr>
            <w:tcW w:w="6663" w:type="dxa"/>
            <w:shd w:val="clear" w:color="auto" w:fill="auto"/>
          </w:tcPr>
          <w:p w14:paraId="3D4375B7" w14:textId="0B277245" w:rsidR="00121598" w:rsidRPr="009018D2" w:rsidRDefault="00145350" w:rsidP="009018D2">
            <w:pPr>
              <w:spacing w:after="0" w:line="240" w:lineRule="auto"/>
              <w:jc w:val="both"/>
              <w:rPr>
                <w:rFonts w:ascii="Arial" w:hAnsi="Arial" w:cs="Arial"/>
              </w:rPr>
            </w:pPr>
            <w:r w:rsidRPr="009018D2">
              <w:rPr>
                <w:rFonts w:ascii="Arial" w:hAnsi="Arial" w:cs="Arial"/>
              </w:rPr>
              <w:t>¿Cuál es la viabilidad legal para depurar</w:t>
            </w:r>
            <w:r w:rsidR="00AC6D2B">
              <w:rPr>
                <w:rFonts w:ascii="Arial" w:hAnsi="Arial" w:cs="Arial"/>
              </w:rPr>
              <w:t xml:space="preserve"> la</w:t>
            </w:r>
            <w:r w:rsidRPr="009018D2">
              <w:rPr>
                <w:rFonts w:ascii="Arial" w:hAnsi="Arial" w:cs="Arial"/>
              </w:rPr>
              <w:t xml:space="preserve"> información bancaria </w:t>
            </w:r>
            <w:r w:rsidR="00B81776" w:rsidRPr="009018D2">
              <w:rPr>
                <w:rFonts w:ascii="Arial" w:hAnsi="Arial" w:cs="Arial"/>
              </w:rPr>
              <w:t xml:space="preserve">cuando no se ha podido </w:t>
            </w:r>
            <w:r w:rsidR="00DD58C7" w:rsidRPr="009018D2">
              <w:rPr>
                <w:rFonts w:ascii="Arial" w:hAnsi="Arial" w:cs="Arial"/>
              </w:rPr>
              <w:t xml:space="preserve">identificar </w:t>
            </w:r>
            <w:r w:rsidR="00B33C10" w:rsidRPr="009018D2">
              <w:rPr>
                <w:rFonts w:ascii="Arial" w:hAnsi="Arial" w:cs="Arial"/>
              </w:rPr>
              <w:t xml:space="preserve">los datos básicos </w:t>
            </w:r>
            <w:r w:rsidR="00A00BC1" w:rsidRPr="009018D2">
              <w:rPr>
                <w:rFonts w:ascii="Arial" w:hAnsi="Arial" w:cs="Arial"/>
              </w:rPr>
              <w:t>de esta información</w:t>
            </w:r>
            <w:r w:rsidR="00913B28" w:rsidRPr="009018D2">
              <w:rPr>
                <w:rFonts w:ascii="Arial" w:hAnsi="Arial" w:cs="Arial"/>
              </w:rPr>
              <w:t>, pese a las actividades que ha desarrollado la entidad</w:t>
            </w:r>
            <w:r w:rsidR="00A00BC1" w:rsidRPr="009018D2">
              <w:rPr>
                <w:rFonts w:ascii="Arial" w:hAnsi="Arial" w:cs="Arial"/>
              </w:rPr>
              <w:t xml:space="preserve"> para su legalización</w:t>
            </w:r>
            <w:r w:rsidR="00A21626" w:rsidRPr="009018D2">
              <w:rPr>
                <w:rFonts w:ascii="Arial" w:hAnsi="Arial" w:cs="Arial"/>
                <w:i/>
                <w:iCs/>
                <w:lang w:val="es-CO"/>
              </w:rPr>
              <w:t xml:space="preserve">? </w:t>
            </w:r>
          </w:p>
        </w:tc>
      </w:tr>
      <w:tr w:rsidR="00324E70" w:rsidRPr="009018D2" w14:paraId="3DE175D8" w14:textId="77777777" w:rsidTr="00AB222F">
        <w:tc>
          <w:tcPr>
            <w:tcW w:w="2155" w:type="dxa"/>
            <w:shd w:val="clear" w:color="auto" w:fill="auto"/>
          </w:tcPr>
          <w:p w14:paraId="797BA5C5" w14:textId="77777777" w:rsidR="00121598" w:rsidRPr="009018D2" w:rsidRDefault="00121598" w:rsidP="009018D2">
            <w:pPr>
              <w:spacing w:after="0" w:line="240" w:lineRule="auto"/>
              <w:rPr>
                <w:rFonts w:ascii="Arial" w:hAnsi="Arial" w:cs="Arial"/>
              </w:rPr>
            </w:pPr>
            <w:r w:rsidRPr="009018D2">
              <w:rPr>
                <w:rFonts w:ascii="Arial" w:hAnsi="Arial" w:cs="Arial"/>
              </w:rPr>
              <w:t>Fuentes formales</w:t>
            </w:r>
          </w:p>
          <w:p w14:paraId="2400B746" w14:textId="109925CC" w:rsidR="00121598" w:rsidRPr="009018D2" w:rsidRDefault="00121598" w:rsidP="009018D2">
            <w:pPr>
              <w:spacing w:after="0" w:line="240" w:lineRule="auto"/>
              <w:rPr>
                <w:rFonts w:ascii="Arial" w:hAnsi="Arial" w:cs="Arial"/>
              </w:rPr>
            </w:pPr>
          </w:p>
        </w:tc>
        <w:tc>
          <w:tcPr>
            <w:tcW w:w="6663" w:type="dxa"/>
            <w:shd w:val="clear" w:color="auto" w:fill="auto"/>
          </w:tcPr>
          <w:p w14:paraId="537DFAF2" w14:textId="77777777" w:rsidR="00121598" w:rsidRPr="002B3778" w:rsidRDefault="00603974" w:rsidP="009018D2">
            <w:pPr>
              <w:spacing w:after="0" w:line="240" w:lineRule="auto"/>
              <w:jc w:val="both"/>
              <w:rPr>
                <w:rFonts w:ascii="Arial" w:hAnsi="Arial" w:cs="Arial"/>
                <w:bCs/>
                <w:iCs/>
              </w:rPr>
            </w:pPr>
            <w:r w:rsidRPr="002B3778">
              <w:rPr>
                <w:rFonts w:ascii="Arial" w:hAnsi="Arial" w:cs="Arial"/>
                <w:bCs/>
                <w:iCs/>
              </w:rPr>
              <w:t>Artículo 45 del Acuerdo Distrital 761 de 2020.</w:t>
            </w:r>
          </w:p>
          <w:p w14:paraId="4A83D078" w14:textId="784E12A5" w:rsidR="00603974" w:rsidRPr="00603974" w:rsidRDefault="002B3778" w:rsidP="002B3778">
            <w:pPr>
              <w:spacing w:after="0" w:line="240" w:lineRule="auto"/>
              <w:jc w:val="both"/>
              <w:rPr>
                <w:rFonts w:ascii="Arial" w:hAnsi="Arial" w:cs="Arial"/>
              </w:rPr>
            </w:pPr>
            <w:r w:rsidRPr="002B3778">
              <w:rPr>
                <w:rFonts w:ascii="Arial" w:hAnsi="Arial" w:cs="Arial"/>
                <w:bCs/>
                <w:iCs/>
              </w:rPr>
              <w:t>Resolución 193 de 2016, expedida por la Contaduría General de la Nación</w:t>
            </w:r>
          </w:p>
        </w:tc>
      </w:tr>
    </w:tbl>
    <w:p w14:paraId="0D72A8AD" w14:textId="77777777" w:rsidR="001540F1" w:rsidRPr="009018D2" w:rsidRDefault="001540F1" w:rsidP="009018D2">
      <w:pPr>
        <w:spacing w:after="0" w:line="240" w:lineRule="auto"/>
        <w:rPr>
          <w:rFonts w:ascii="Arial" w:hAnsi="Arial" w:cs="Arial"/>
          <w:sz w:val="24"/>
          <w:szCs w:val="24"/>
        </w:rPr>
      </w:pPr>
    </w:p>
    <w:p w14:paraId="02BDBA16" w14:textId="77777777" w:rsidR="001540F1" w:rsidRPr="009018D2" w:rsidRDefault="001540F1" w:rsidP="009018D2">
      <w:pPr>
        <w:spacing w:after="0" w:line="240" w:lineRule="auto"/>
        <w:jc w:val="both"/>
        <w:rPr>
          <w:rFonts w:ascii="Arial" w:hAnsi="Arial" w:cs="Arial"/>
          <w:b/>
          <w:bCs/>
          <w:sz w:val="24"/>
          <w:szCs w:val="24"/>
        </w:rPr>
      </w:pPr>
      <w:r w:rsidRPr="009018D2">
        <w:rPr>
          <w:rFonts w:ascii="Arial" w:hAnsi="Arial" w:cs="Arial"/>
          <w:b/>
          <w:bCs/>
          <w:sz w:val="24"/>
          <w:szCs w:val="24"/>
        </w:rPr>
        <w:t>IDENTIFICACIÓN DE LA CONSULTA</w:t>
      </w:r>
    </w:p>
    <w:p w14:paraId="43988B2D" w14:textId="4EDBA2F7" w:rsidR="001540F1" w:rsidRPr="009018D2" w:rsidRDefault="001540F1" w:rsidP="009018D2">
      <w:pPr>
        <w:spacing w:after="0" w:line="240" w:lineRule="auto"/>
        <w:jc w:val="both"/>
        <w:rPr>
          <w:rFonts w:ascii="Arial" w:hAnsi="Arial" w:cs="Arial"/>
          <w:b/>
          <w:bCs/>
          <w:sz w:val="24"/>
          <w:szCs w:val="24"/>
        </w:rPr>
      </w:pPr>
    </w:p>
    <w:p w14:paraId="34C92AB9" w14:textId="3B59226E" w:rsidR="00913B28" w:rsidRPr="009018D2" w:rsidRDefault="001540F1" w:rsidP="009018D2">
      <w:pPr>
        <w:spacing w:after="0" w:line="240" w:lineRule="auto"/>
        <w:jc w:val="both"/>
        <w:rPr>
          <w:rFonts w:ascii="Arial" w:hAnsi="Arial" w:cs="Arial"/>
          <w:bCs/>
          <w:sz w:val="24"/>
          <w:szCs w:val="24"/>
        </w:rPr>
      </w:pPr>
      <w:r w:rsidRPr="009018D2">
        <w:rPr>
          <w:rFonts w:ascii="Arial" w:hAnsi="Arial" w:cs="Arial"/>
          <w:sz w:val="24"/>
          <w:szCs w:val="24"/>
          <w:bdr w:val="none" w:sz="0" w:space="0" w:color="auto" w:frame="1"/>
        </w:rPr>
        <w:t xml:space="preserve">Esta </w:t>
      </w:r>
      <w:r w:rsidR="00EA1DFB" w:rsidRPr="009018D2">
        <w:rPr>
          <w:rFonts w:ascii="Arial" w:hAnsi="Arial" w:cs="Arial"/>
          <w:sz w:val="24"/>
          <w:szCs w:val="24"/>
          <w:bdr w:val="none" w:sz="0" w:space="0" w:color="auto" w:frame="1"/>
        </w:rPr>
        <w:t xml:space="preserve">Dirección </w:t>
      </w:r>
      <w:r w:rsidRPr="009018D2">
        <w:rPr>
          <w:rFonts w:ascii="Arial" w:hAnsi="Arial" w:cs="Arial"/>
          <w:sz w:val="24"/>
          <w:szCs w:val="24"/>
          <w:bdr w:val="none" w:sz="0" w:space="0" w:color="auto" w:frame="1"/>
        </w:rPr>
        <w:t xml:space="preserve">ha recibido la </w:t>
      </w:r>
      <w:r w:rsidR="0074718A">
        <w:rPr>
          <w:rFonts w:ascii="Arial" w:hAnsi="Arial" w:cs="Arial"/>
          <w:sz w:val="24"/>
          <w:szCs w:val="24"/>
          <w:bdr w:val="none" w:sz="0" w:space="0" w:color="auto" w:frame="1"/>
        </w:rPr>
        <w:t xml:space="preserve">consulta </w:t>
      </w:r>
      <w:r w:rsidR="00123873" w:rsidRPr="009018D2">
        <w:rPr>
          <w:rFonts w:ascii="Arial" w:hAnsi="Arial" w:cs="Arial"/>
          <w:bCs/>
          <w:sz w:val="24"/>
          <w:szCs w:val="24"/>
        </w:rPr>
        <w:t xml:space="preserve">de la </w:t>
      </w:r>
      <w:r w:rsidR="00913B28" w:rsidRPr="009018D2">
        <w:rPr>
          <w:rFonts w:ascii="Arial" w:hAnsi="Arial" w:cs="Arial"/>
        </w:rPr>
        <w:t>Subdirec</w:t>
      </w:r>
      <w:r w:rsidR="009713F5" w:rsidRPr="009018D2">
        <w:rPr>
          <w:rFonts w:ascii="Arial" w:hAnsi="Arial" w:cs="Arial"/>
        </w:rPr>
        <w:t xml:space="preserve">ción </w:t>
      </w:r>
      <w:r w:rsidR="00913B28" w:rsidRPr="009018D2">
        <w:rPr>
          <w:rFonts w:ascii="Arial" w:hAnsi="Arial" w:cs="Arial"/>
        </w:rPr>
        <w:t>de Gestión Contable de Hacienda</w:t>
      </w:r>
      <w:r w:rsidR="0074718A">
        <w:rPr>
          <w:rFonts w:ascii="Arial" w:hAnsi="Arial" w:cs="Arial"/>
        </w:rPr>
        <w:t xml:space="preserve">, </w:t>
      </w:r>
      <w:r w:rsidR="00DB373C" w:rsidRPr="009018D2">
        <w:rPr>
          <w:rFonts w:ascii="Arial" w:hAnsi="Arial" w:cs="Arial"/>
          <w:bCs/>
          <w:sz w:val="24"/>
          <w:szCs w:val="24"/>
        </w:rPr>
        <w:t xml:space="preserve">relacionada con </w:t>
      </w:r>
      <w:r w:rsidR="00295C80" w:rsidRPr="009018D2">
        <w:rPr>
          <w:rFonts w:ascii="Arial" w:hAnsi="Arial" w:cs="Arial"/>
          <w:bCs/>
          <w:sz w:val="24"/>
          <w:szCs w:val="24"/>
        </w:rPr>
        <w:t>dos</w:t>
      </w:r>
      <w:r w:rsidR="00DB373C" w:rsidRPr="009018D2">
        <w:rPr>
          <w:rFonts w:ascii="Arial" w:hAnsi="Arial" w:cs="Arial"/>
          <w:bCs/>
          <w:sz w:val="24"/>
          <w:szCs w:val="24"/>
        </w:rPr>
        <w:t xml:space="preserve"> </w:t>
      </w:r>
      <w:r w:rsidR="009713F5" w:rsidRPr="009018D2">
        <w:rPr>
          <w:rFonts w:ascii="Arial" w:hAnsi="Arial" w:cs="Arial"/>
          <w:bCs/>
          <w:sz w:val="24"/>
          <w:szCs w:val="24"/>
        </w:rPr>
        <w:t>partidas bancarias</w:t>
      </w:r>
      <w:r w:rsidR="002579BF" w:rsidRPr="009018D2">
        <w:rPr>
          <w:rFonts w:ascii="Arial" w:hAnsi="Arial" w:cs="Arial"/>
          <w:bCs/>
          <w:sz w:val="24"/>
          <w:szCs w:val="24"/>
        </w:rPr>
        <w:t xml:space="preserve"> </w:t>
      </w:r>
      <w:r w:rsidR="00DF54C6" w:rsidRPr="009018D2">
        <w:rPr>
          <w:rFonts w:ascii="Arial" w:hAnsi="Arial" w:cs="Arial"/>
          <w:bCs/>
          <w:sz w:val="24"/>
          <w:szCs w:val="24"/>
        </w:rPr>
        <w:t xml:space="preserve">conciliatorias, </w:t>
      </w:r>
      <w:r w:rsidR="0060708B" w:rsidRPr="009018D2">
        <w:rPr>
          <w:rFonts w:ascii="Arial" w:hAnsi="Arial" w:cs="Arial"/>
          <w:bCs/>
          <w:sz w:val="24"/>
          <w:szCs w:val="24"/>
        </w:rPr>
        <w:t xml:space="preserve">que no se han podido identificar </w:t>
      </w:r>
      <w:r w:rsidR="00DF54C6" w:rsidRPr="009018D2">
        <w:rPr>
          <w:rFonts w:ascii="Arial" w:hAnsi="Arial" w:cs="Arial"/>
          <w:bCs/>
          <w:sz w:val="24"/>
          <w:szCs w:val="24"/>
        </w:rPr>
        <w:t>de manera integral</w:t>
      </w:r>
      <w:r w:rsidR="00253CF6" w:rsidRPr="009018D2">
        <w:rPr>
          <w:rFonts w:ascii="Arial" w:hAnsi="Arial" w:cs="Arial"/>
          <w:bCs/>
          <w:sz w:val="24"/>
          <w:szCs w:val="24"/>
        </w:rPr>
        <w:t xml:space="preserve">. </w:t>
      </w:r>
      <w:r w:rsidR="00295C80" w:rsidRPr="009018D2">
        <w:rPr>
          <w:rFonts w:ascii="Arial" w:hAnsi="Arial" w:cs="Arial"/>
          <w:bCs/>
          <w:sz w:val="24"/>
          <w:szCs w:val="24"/>
        </w:rPr>
        <w:t xml:space="preserve">Los hechos económicos </w:t>
      </w:r>
      <w:r w:rsidR="00510E56" w:rsidRPr="009018D2">
        <w:rPr>
          <w:rFonts w:ascii="Arial" w:hAnsi="Arial" w:cs="Arial"/>
          <w:bCs/>
          <w:sz w:val="24"/>
          <w:szCs w:val="24"/>
        </w:rPr>
        <w:t xml:space="preserve">datan de 2013 y 2016 e implican </w:t>
      </w:r>
      <w:r w:rsidR="004A3789" w:rsidRPr="009018D2">
        <w:rPr>
          <w:rFonts w:ascii="Arial" w:hAnsi="Arial" w:cs="Arial"/>
          <w:bCs/>
          <w:sz w:val="24"/>
          <w:szCs w:val="24"/>
        </w:rPr>
        <w:t xml:space="preserve">que mientras no se realice la actualización de la información financiera, </w:t>
      </w:r>
      <w:r w:rsidR="00253CF6" w:rsidRPr="009018D2">
        <w:rPr>
          <w:rFonts w:ascii="Arial" w:hAnsi="Arial" w:cs="Arial"/>
          <w:bCs/>
          <w:sz w:val="24"/>
          <w:szCs w:val="24"/>
        </w:rPr>
        <w:t xml:space="preserve">estos recursos </w:t>
      </w:r>
      <w:r w:rsidR="00AA52E9">
        <w:rPr>
          <w:rFonts w:ascii="Arial" w:hAnsi="Arial" w:cs="Arial"/>
          <w:bCs/>
          <w:sz w:val="24"/>
          <w:szCs w:val="24"/>
        </w:rPr>
        <w:t xml:space="preserve">tesorales </w:t>
      </w:r>
      <w:r w:rsidR="00253CF6" w:rsidRPr="009018D2">
        <w:rPr>
          <w:rFonts w:ascii="Arial" w:hAnsi="Arial" w:cs="Arial"/>
          <w:bCs/>
          <w:sz w:val="24"/>
          <w:szCs w:val="24"/>
        </w:rPr>
        <w:t>no se pueden utiliza</w:t>
      </w:r>
      <w:r w:rsidR="00043E26" w:rsidRPr="009018D2">
        <w:rPr>
          <w:rFonts w:ascii="Arial" w:hAnsi="Arial" w:cs="Arial"/>
          <w:bCs/>
          <w:sz w:val="24"/>
          <w:szCs w:val="24"/>
        </w:rPr>
        <w:t xml:space="preserve">r. Los montos de estas partidas no son significativos </w:t>
      </w:r>
      <w:r w:rsidR="00431DFA" w:rsidRPr="009018D2">
        <w:rPr>
          <w:rFonts w:ascii="Arial" w:hAnsi="Arial" w:cs="Arial"/>
          <w:bCs/>
          <w:sz w:val="24"/>
          <w:szCs w:val="24"/>
        </w:rPr>
        <w:t xml:space="preserve">y sí implican desgaste administrativo para la </w:t>
      </w:r>
      <w:r w:rsidR="008A592D">
        <w:rPr>
          <w:rFonts w:ascii="Arial" w:hAnsi="Arial" w:cs="Arial"/>
          <w:bCs/>
          <w:sz w:val="24"/>
          <w:szCs w:val="24"/>
        </w:rPr>
        <w:t xml:space="preserve">Dirección </w:t>
      </w:r>
      <w:r w:rsidR="008A592D" w:rsidRPr="009018D2">
        <w:rPr>
          <w:rFonts w:ascii="Arial" w:hAnsi="Arial" w:cs="Arial"/>
          <w:bCs/>
          <w:sz w:val="24"/>
          <w:szCs w:val="24"/>
        </w:rPr>
        <w:t xml:space="preserve">Distrital </w:t>
      </w:r>
      <w:r w:rsidR="008A592D">
        <w:rPr>
          <w:rFonts w:ascii="Arial" w:hAnsi="Arial" w:cs="Arial"/>
          <w:bCs/>
          <w:sz w:val="24"/>
          <w:szCs w:val="24"/>
        </w:rPr>
        <w:t xml:space="preserve">de </w:t>
      </w:r>
      <w:r w:rsidR="00431DFA" w:rsidRPr="009018D2">
        <w:rPr>
          <w:rFonts w:ascii="Arial" w:hAnsi="Arial" w:cs="Arial"/>
          <w:bCs/>
          <w:sz w:val="24"/>
          <w:szCs w:val="24"/>
        </w:rPr>
        <w:t xml:space="preserve">Tesorería </w:t>
      </w:r>
      <w:r w:rsidR="00556079" w:rsidRPr="009018D2">
        <w:rPr>
          <w:rFonts w:ascii="Arial" w:hAnsi="Arial" w:cs="Arial"/>
          <w:bCs/>
          <w:sz w:val="24"/>
          <w:szCs w:val="24"/>
        </w:rPr>
        <w:t>y para la Subdirección de Gestión Contable de Hacienda.</w:t>
      </w:r>
    </w:p>
    <w:p w14:paraId="00AADA63" w14:textId="3588A710" w:rsidR="00A72F0E" w:rsidRPr="009018D2" w:rsidRDefault="00A72F0E" w:rsidP="009018D2">
      <w:pPr>
        <w:spacing w:after="0" w:line="240" w:lineRule="auto"/>
        <w:jc w:val="both"/>
        <w:rPr>
          <w:rFonts w:ascii="Arial" w:hAnsi="Arial" w:cs="Arial"/>
          <w:bCs/>
          <w:sz w:val="24"/>
          <w:szCs w:val="24"/>
        </w:rPr>
      </w:pPr>
    </w:p>
    <w:p w14:paraId="3410AECD" w14:textId="77777777" w:rsidR="00A72F0E" w:rsidRPr="009018D2" w:rsidRDefault="00A72F0E" w:rsidP="009018D2">
      <w:pPr>
        <w:spacing w:after="0" w:line="240" w:lineRule="auto"/>
        <w:jc w:val="both"/>
        <w:rPr>
          <w:rFonts w:ascii="Arial" w:hAnsi="Arial" w:cs="Arial"/>
          <w:sz w:val="24"/>
          <w:szCs w:val="24"/>
        </w:rPr>
      </w:pPr>
      <w:r w:rsidRPr="009018D2">
        <w:rPr>
          <w:rFonts w:ascii="Arial" w:hAnsi="Arial" w:cs="Arial"/>
          <w:sz w:val="24"/>
          <w:szCs w:val="24"/>
        </w:rPr>
        <w:t xml:space="preserve">Lo anterior pues de conformidad con la información suministrada por la Subdirección de Gestión Contable, esta desactualización de la información se genera porque no se tiene  certeza sobre el destinatario de un pago, a través de la institución financiera. De la misma manera, existe cruce de información con la institución financiera, en cuanto a diferentes operaciones que ha realizado la entidad. </w:t>
      </w:r>
    </w:p>
    <w:p w14:paraId="495B8D00" w14:textId="77777777" w:rsidR="00913B28" w:rsidRPr="009018D2" w:rsidRDefault="00913B28" w:rsidP="009018D2">
      <w:pPr>
        <w:spacing w:after="0" w:line="240" w:lineRule="auto"/>
        <w:jc w:val="both"/>
        <w:rPr>
          <w:rFonts w:ascii="Arial" w:hAnsi="Arial" w:cs="Arial"/>
          <w:bCs/>
          <w:sz w:val="24"/>
          <w:szCs w:val="24"/>
        </w:rPr>
      </w:pPr>
    </w:p>
    <w:p w14:paraId="37ACEEF0" w14:textId="4F8090E6" w:rsidR="00913B28" w:rsidRPr="009018D2" w:rsidRDefault="00637B76" w:rsidP="009018D2">
      <w:pPr>
        <w:spacing w:after="0" w:line="240" w:lineRule="auto"/>
        <w:jc w:val="both"/>
        <w:rPr>
          <w:rFonts w:ascii="Arial" w:hAnsi="Arial" w:cs="Arial"/>
          <w:bCs/>
          <w:sz w:val="24"/>
          <w:szCs w:val="24"/>
        </w:rPr>
      </w:pPr>
      <w:r w:rsidRPr="009018D2">
        <w:rPr>
          <w:rFonts w:ascii="Arial" w:hAnsi="Arial" w:cs="Arial"/>
          <w:bCs/>
          <w:sz w:val="24"/>
          <w:szCs w:val="24"/>
        </w:rPr>
        <w:t xml:space="preserve">En este sentido, </w:t>
      </w:r>
      <w:r w:rsidR="00E44591" w:rsidRPr="009018D2">
        <w:rPr>
          <w:rFonts w:ascii="Arial" w:hAnsi="Arial" w:cs="Arial"/>
          <w:bCs/>
          <w:sz w:val="24"/>
          <w:szCs w:val="24"/>
        </w:rPr>
        <w:t xml:space="preserve">la Subdirección formula las siguientes preguntas: </w:t>
      </w:r>
    </w:p>
    <w:p w14:paraId="529CE094" w14:textId="77777777" w:rsidR="00637B76" w:rsidRPr="00637B76" w:rsidRDefault="00637B76" w:rsidP="009018D2">
      <w:pPr>
        <w:autoSpaceDE w:val="0"/>
        <w:autoSpaceDN w:val="0"/>
        <w:adjustRightInd w:val="0"/>
        <w:spacing w:after="0" w:line="240" w:lineRule="auto"/>
        <w:ind w:left="709" w:hanging="709"/>
        <w:rPr>
          <w:rFonts w:ascii="Arial" w:hAnsi="Arial" w:cs="Arial"/>
          <w:sz w:val="24"/>
          <w:szCs w:val="24"/>
          <w:lang w:val="es-CO"/>
        </w:rPr>
      </w:pPr>
    </w:p>
    <w:p w14:paraId="67607251" w14:textId="12B57219" w:rsidR="00637B76" w:rsidRPr="009018D2" w:rsidRDefault="00637B76" w:rsidP="009018D2">
      <w:pPr>
        <w:pStyle w:val="Prrafodelista"/>
        <w:numPr>
          <w:ilvl w:val="0"/>
          <w:numId w:val="8"/>
        </w:numPr>
        <w:autoSpaceDE w:val="0"/>
        <w:autoSpaceDN w:val="0"/>
        <w:adjustRightInd w:val="0"/>
        <w:spacing w:after="0" w:line="240" w:lineRule="auto"/>
        <w:ind w:left="567" w:hanging="567"/>
        <w:jc w:val="both"/>
        <w:rPr>
          <w:rFonts w:ascii="Arial" w:hAnsi="Arial" w:cs="Arial"/>
          <w:i/>
          <w:iCs/>
          <w:sz w:val="24"/>
          <w:szCs w:val="24"/>
        </w:rPr>
      </w:pPr>
      <w:r w:rsidRPr="009018D2">
        <w:rPr>
          <w:rFonts w:ascii="Arial" w:hAnsi="Arial" w:cs="Arial"/>
          <w:i/>
          <w:iCs/>
          <w:sz w:val="24"/>
          <w:szCs w:val="24"/>
        </w:rPr>
        <w:t>¿Aplica algún t</w:t>
      </w:r>
      <w:r w:rsidR="00726C70">
        <w:rPr>
          <w:rFonts w:ascii="Arial" w:hAnsi="Arial" w:cs="Arial"/>
          <w:i/>
          <w:iCs/>
          <w:sz w:val="24"/>
          <w:szCs w:val="24"/>
        </w:rPr>
        <w:t>é</w:t>
      </w:r>
      <w:r w:rsidRPr="009018D2">
        <w:rPr>
          <w:rFonts w:ascii="Arial" w:hAnsi="Arial" w:cs="Arial"/>
          <w:i/>
          <w:iCs/>
          <w:sz w:val="24"/>
          <w:szCs w:val="24"/>
        </w:rPr>
        <w:t xml:space="preserve">rmino de prescripción que permita incorporar las partidas conciliatorias del Bancolombia como un ingreso en la SDH? </w:t>
      </w:r>
    </w:p>
    <w:p w14:paraId="7A0E847C" w14:textId="77777777" w:rsidR="00637B76" w:rsidRPr="00637B76" w:rsidRDefault="00637B76" w:rsidP="009018D2">
      <w:pPr>
        <w:autoSpaceDE w:val="0"/>
        <w:autoSpaceDN w:val="0"/>
        <w:adjustRightInd w:val="0"/>
        <w:spacing w:after="0" w:line="240" w:lineRule="auto"/>
        <w:jc w:val="both"/>
        <w:rPr>
          <w:rFonts w:ascii="Arial" w:hAnsi="Arial" w:cs="Arial"/>
          <w:i/>
          <w:iCs/>
          <w:sz w:val="24"/>
          <w:szCs w:val="24"/>
          <w:lang w:val="es-CO"/>
        </w:rPr>
      </w:pPr>
    </w:p>
    <w:p w14:paraId="19FD7AF1" w14:textId="77777777" w:rsidR="00637B76" w:rsidRPr="00637B76" w:rsidRDefault="00637B76" w:rsidP="009018D2">
      <w:pPr>
        <w:autoSpaceDE w:val="0"/>
        <w:autoSpaceDN w:val="0"/>
        <w:adjustRightInd w:val="0"/>
        <w:spacing w:after="0" w:line="240" w:lineRule="auto"/>
        <w:ind w:left="567" w:hanging="567"/>
        <w:jc w:val="both"/>
        <w:rPr>
          <w:rFonts w:ascii="Arial" w:hAnsi="Arial" w:cs="Arial"/>
          <w:i/>
          <w:iCs/>
          <w:sz w:val="24"/>
          <w:szCs w:val="24"/>
          <w:lang w:val="es-CO"/>
        </w:rPr>
      </w:pPr>
      <w:r w:rsidRPr="00637B76">
        <w:rPr>
          <w:rFonts w:ascii="Arial" w:hAnsi="Arial" w:cs="Arial"/>
          <w:i/>
          <w:iCs/>
          <w:sz w:val="24"/>
          <w:szCs w:val="24"/>
          <w:lang w:val="es-CO"/>
        </w:rPr>
        <w:lastRenderedPageBreak/>
        <w:t xml:space="preserve">2. ¿Cuál es la viabilidad legal para incorporar los ingresos por las partidas conciliatorias del Bancolombia como ingresos de la SDH y su correspondiente registro en el presupuesto de ingresos de la Administración Central? </w:t>
      </w:r>
    </w:p>
    <w:p w14:paraId="2C6226A0" w14:textId="77777777" w:rsidR="00637B76" w:rsidRPr="00637B76" w:rsidRDefault="00637B76" w:rsidP="009018D2">
      <w:pPr>
        <w:autoSpaceDE w:val="0"/>
        <w:autoSpaceDN w:val="0"/>
        <w:adjustRightInd w:val="0"/>
        <w:spacing w:after="0" w:line="240" w:lineRule="auto"/>
        <w:jc w:val="both"/>
        <w:rPr>
          <w:rFonts w:ascii="Arial" w:hAnsi="Arial" w:cs="Arial"/>
          <w:i/>
          <w:iCs/>
          <w:sz w:val="24"/>
          <w:szCs w:val="24"/>
          <w:lang w:val="es-CO"/>
        </w:rPr>
      </w:pPr>
    </w:p>
    <w:p w14:paraId="4C708F02" w14:textId="77777777" w:rsidR="00637B76" w:rsidRPr="00637B76" w:rsidRDefault="00637B76" w:rsidP="009018D2">
      <w:pPr>
        <w:autoSpaceDE w:val="0"/>
        <w:autoSpaceDN w:val="0"/>
        <w:adjustRightInd w:val="0"/>
        <w:spacing w:after="0" w:line="240" w:lineRule="auto"/>
        <w:ind w:left="567" w:hanging="567"/>
        <w:jc w:val="both"/>
        <w:rPr>
          <w:rFonts w:ascii="Arial" w:hAnsi="Arial" w:cs="Arial"/>
          <w:i/>
          <w:iCs/>
          <w:sz w:val="24"/>
          <w:szCs w:val="24"/>
          <w:lang w:val="es-CO"/>
        </w:rPr>
      </w:pPr>
      <w:r w:rsidRPr="00637B76">
        <w:rPr>
          <w:rFonts w:ascii="Arial" w:hAnsi="Arial" w:cs="Arial"/>
          <w:i/>
          <w:iCs/>
          <w:sz w:val="24"/>
          <w:szCs w:val="24"/>
          <w:lang w:val="es-CO"/>
        </w:rPr>
        <w:t xml:space="preserve">3. ¿Cuál es la viabilidad legal para asumir la partida conciliatoria del Banco de Bogotá como un gasto en la SDH y su registro en el presupuesto de gastos de la entidad? </w:t>
      </w:r>
    </w:p>
    <w:p w14:paraId="33491B55" w14:textId="77777777" w:rsidR="00637B76" w:rsidRPr="009018D2" w:rsidRDefault="00637B76" w:rsidP="009018D2">
      <w:pPr>
        <w:spacing w:after="0" w:line="240" w:lineRule="auto"/>
        <w:jc w:val="both"/>
        <w:rPr>
          <w:rFonts w:ascii="Arial" w:hAnsi="Arial" w:cs="Arial"/>
          <w:bCs/>
          <w:sz w:val="24"/>
          <w:szCs w:val="24"/>
        </w:rPr>
      </w:pPr>
    </w:p>
    <w:p w14:paraId="2CB1C738" w14:textId="77777777" w:rsidR="00913B28" w:rsidRPr="009018D2" w:rsidRDefault="00913B28" w:rsidP="009018D2">
      <w:pPr>
        <w:spacing w:after="0" w:line="240" w:lineRule="auto"/>
        <w:jc w:val="both"/>
        <w:rPr>
          <w:rFonts w:ascii="Arial" w:hAnsi="Arial" w:cs="Arial"/>
          <w:bCs/>
          <w:sz w:val="24"/>
          <w:szCs w:val="24"/>
        </w:rPr>
      </w:pPr>
    </w:p>
    <w:p w14:paraId="698CBDB0" w14:textId="26A3CBD5" w:rsidR="00534FDC" w:rsidRPr="009018D2" w:rsidRDefault="00534FDC" w:rsidP="009018D2">
      <w:pPr>
        <w:tabs>
          <w:tab w:val="left" w:pos="851"/>
        </w:tabs>
        <w:spacing w:after="0" w:line="240" w:lineRule="auto"/>
        <w:jc w:val="both"/>
        <w:rPr>
          <w:rFonts w:ascii="Arial" w:hAnsi="Arial" w:cs="Arial"/>
          <w:b/>
          <w:bCs/>
          <w:sz w:val="24"/>
          <w:szCs w:val="24"/>
        </w:rPr>
      </w:pPr>
      <w:r w:rsidRPr="009018D2">
        <w:rPr>
          <w:rFonts w:ascii="Arial" w:hAnsi="Arial" w:cs="Arial"/>
          <w:b/>
          <w:bCs/>
          <w:sz w:val="24"/>
          <w:szCs w:val="24"/>
        </w:rPr>
        <w:t xml:space="preserve">CONSIDERACIONES </w:t>
      </w:r>
    </w:p>
    <w:p w14:paraId="5755F9C7" w14:textId="77777777" w:rsidR="00534FDC" w:rsidRPr="009018D2" w:rsidRDefault="00534FDC" w:rsidP="009018D2">
      <w:pPr>
        <w:spacing w:after="0" w:line="240" w:lineRule="auto"/>
        <w:jc w:val="both"/>
        <w:rPr>
          <w:rFonts w:ascii="Arial" w:eastAsia="Verdana" w:hAnsi="Arial" w:cs="Arial"/>
          <w:noProof/>
          <w:sz w:val="24"/>
          <w:szCs w:val="24"/>
          <w:lang w:val="es-CO" w:eastAsia="es-CO"/>
        </w:rPr>
      </w:pPr>
    </w:p>
    <w:p w14:paraId="185C3644" w14:textId="40A440D2" w:rsidR="00534FDC" w:rsidRPr="009018D2" w:rsidRDefault="00245151" w:rsidP="009018D2">
      <w:pPr>
        <w:spacing w:after="0" w:line="240" w:lineRule="auto"/>
        <w:jc w:val="both"/>
        <w:rPr>
          <w:rFonts w:ascii="Arial" w:hAnsi="Arial" w:cs="Arial"/>
          <w:sz w:val="24"/>
          <w:szCs w:val="24"/>
          <w:lang w:eastAsia="ja-JP"/>
        </w:rPr>
      </w:pPr>
      <w:r w:rsidRPr="009018D2">
        <w:rPr>
          <w:rFonts w:ascii="Arial" w:hAnsi="Arial" w:cs="Arial"/>
          <w:sz w:val="24"/>
          <w:szCs w:val="24"/>
          <w:lang w:eastAsia="ja-JP"/>
        </w:rPr>
        <w:t xml:space="preserve">Es </w:t>
      </w:r>
      <w:r w:rsidR="00534FDC" w:rsidRPr="009018D2">
        <w:rPr>
          <w:rFonts w:ascii="Arial" w:hAnsi="Arial" w:cs="Arial"/>
          <w:sz w:val="24"/>
          <w:szCs w:val="24"/>
          <w:lang w:eastAsia="ja-JP"/>
        </w:rPr>
        <w:t>función de la Dirección Jurídica de la Secretaría Distrital de Hacienda establecer las directrices para fomentar la unidad doctrinal en la aplicación e interpretación de normas relacionadas con la hacienda pública, teniendo en cuenta el ordenamiento jurídico vigente, de conformidad con lo establecido en los artículos 69 y 72 del Decreto Distrital 601 de 2014.</w:t>
      </w:r>
    </w:p>
    <w:p w14:paraId="249A828E" w14:textId="77777777" w:rsidR="00534FDC" w:rsidRPr="009018D2" w:rsidRDefault="00534FDC" w:rsidP="009018D2">
      <w:pPr>
        <w:spacing w:after="0" w:line="240" w:lineRule="auto"/>
        <w:jc w:val="both"/>
        <w:rPr>
          <w:rFonts w:ascii="Arial" w:hAnsi="Arial" w:cs="Arial"/>
          <w:sz w:val="24"/>
          <w:szCs w:val="24"/>
          <w:lang w:eastAsia="ja-JP"/>
        </w:rPr>
      </w:pPr>
    </w:p>
    <w:p w14:paraId="568F4FBC" w14:textId="2E4AD9EB" w:rsidR="00534FDC" w:rsidRPr="009018D2" w:rsidRDefault="00534FDC" w:rsidP="009018D2">
      <w:pPr>
        <w:spacing w:after="0" w:line="240" w:lineRule="auto"/>
        <w:jc w:val="both"/>
        <w:rPr>
          <w:rFonts w:ascii="Arial" w:hAnsi="Arial" w:cs="Arial"/>
          <w:sz w:val="24"/>
          <w:szCs w:val="24"/>
          <w:lang w:eastAsia="ja-JP"/>
        </w:rPr>
      </w:pPr>
      <w:r w:rsidRPr="009018D2">
        <w:rPr>
          <w:rFonts w:ascii="Arial" w:hAnsi="Arial" w:cs="Arial"/>
          <w:sz w:val="24"/>
          <w:szCs w:val="24"/>
          <w:lang w:eastAsia="ja-JP"/>
        </w:rPr>
        <w:t xml:space="preserve">Por esta razón, le corresponde absolver consultas, emitir conceptos jurídicos y prestar asistencia jurídica en asuntos relacionados con temas de tesorería, presupuesto, tributos, contabilidad, crédito público, cobro, </w:t>
      </w:r>
      <w:r w:rsidR="008D4A25" w:rsidRPr="009018D2">
        <w:rPr>
          <w:rFonts w:ascii="Arial" w:hAnsi="Arial" w:cs="Arial"/>
          <w:sz w:val="24"/>
          <w:szCs w:val="24"/>
          <w:lang w:eastAsia="ja-JP"/>
        </w:rPr>
        <w:t xml:space="preserve">asuntos administrativos y contractuales  de la entidad, </w:t>
      </w:r>
      <w:r w:rsidRPr="009018D2">
        <w:rPr>
          <w:rFonts w:ascii="Arial" w:hAnsi="Arial" w:cs="Arial"/>
          <w:sz w:val="24"/>
          <w:szCs w:val="24"/>
          <w:lang w:eastAsia="ja-JP"/>
        </w:rPr>
        <w:t>entre otros.</w:t>
      </w:r>
    </w:p>
    <w:p w14:paraId="52F2CA72" w14:textId="77777777" w:rsidR="00534FDC" w:rsidRPr="009018D2" w:rsidRDefault="00534FDC" w:rsidP="009018D2">
      <w:pPr>
        <w:spacing w:after="0" w:line="240" w:lineRule="auto"/>
        <w:jc w:val="both"/>
        <w:rPr>
          <w:rFonts w:ascii="Arial" w:hAnsi="Arial" w:cs="Arial"/>
          <w:sz w:val="24"/>
          <w:szCs w:val="24"/>
          <w:lang w:eastAsia="ja-JP"/>
        </w:rPr>
      </w:pPr>
    </w:p>
    <w:p w14:paraId="474D4783" w14:textId="24A72ECB" w:rsidR="00534FDC" w:rsidRPr="009018D2" w:rsidRDefault="00534FDC" w:rsidP="009018D2">
      <w:pPr>
        <w:spacing w:after="0" w:line="240" w:lineRule="auto"/>
        <w:jc w:val="both"/>
        <w:rPr>
          <w:rFonts w:ascii="Arial" w:hAnsi="Arial" w:cs="Arial"/>
          <w:sz w:val="24"/>
          <w:szCs w:val="24"/>
          <w:lang w:eastAsia="ja-JP"/>
        </w:rPr>
      </w:pPr>
      <w:r w:rsidRPr="009018D2">
        <w:rPr>
          <w:rFonts w:ascii="Arial" w:hAnsi="Arial" w:cs="Arial"/>
          <w:sz w:val="24"/>
          <w:szCs w:val="24"/>
          <w:lang w:eastAsia="ja-JP"/>
        </w:rPr>
        <w:t>Por lo anterior, esta Dirección es competente para pronunciarse sobre el objeto de la consulta</w:t>
      </w:r>
      <w:r w:rsidR="004B3310" w:rsidRPr="009018D2">
        <w:rPr>
          <w:rFonts w:ascii="Arial" w:hAnsi="Arial" w:cs="Arial"/>
          <w:sz w:val="24"/>
          <w:szCs w:val="24"/>
          <w:lang w:eastAsia="ja-JP"/>
        </w:rPr>
        <w:t xml:space="preserve">. </w:t>
      </w:r>
    </w:p>
    <w:p w14:paraId="5C35EA2E" w14:textId="0727EEB6" w:rsidR="00D932F2" w:rsidRPr="009018D2" w:rsidRDefault="00D932F2" w:rsidP="009018D2">
      <w:pPr>
        <w:spacing w:after="0" w:line="240" w:lineRule="auto"/>
        <w:jc w:val="both"/>
        <w:rPr>
          <w:rFonts w:ascii="Arial" w:hAnsi="Arial" w:cs="Arial"/>
          <w:bCs/>
          <w:sz w:val="24"/>
          <w:szCs w:val="24"/>
        </w:rPr>
      </w:pPr>
    </w:p>
    <w:p w14:paraId="7A23139E" w14:textId="493F9708" w:rsidR="00087358" w:rsidRPr="009018D2" w:rsidRDefault="00C52BDC" w:rsidP="009018D2">
      <w:pPr>
        <w:spacing w:after="0" w:line="240" w:lineRule="auto"/>
        <w:jc w:val="both"/>
        <w:rPr>
          <w:rFonts w:ascii="Arial" w:hAnsi="Arial" w:cs="Arial"/>
          <w:bCs/>
          <w:sz w:val="24"/>
          <w:szCs w:val="24"/>
        </w:rPr>
      </w:pPr>
      <w:r w:rsidRPr="009018D2">
        <w:rPr>
          <w:rFonts w:ascii="Arial" w:hAnsi="Arial" w:cs="Arial"/>
          <w:bCs/>
          <w:sz w:val="24"/>
          <w:szCs w:val="24"/>
        </w:rPr>
        <w:t xml:space="preserve">Esta Dirección </w:t>
      </w:r>
      <w:r w:rsidR="00087358" w:rsidRPr="009018D2">
        <w:rPr>
          <w:rFonts w:ascii="Arial" w:hAnsi="Arial" w:cs="Arial"/>
          <w:bCs/>
          <w:sz w:val="24"/>
          <w:szCs w:val="24"/>
        </w:rPr>
        <w:t>ya ha conceptuado en el sentido que la</w:t>
      </w:r>
      <w:r w:rsidRPr="009018D2">
        <w:rPr>
          <w:rFonts w:ascii="Arial" w:hAnsi="Arial" w:cs="Arial"/>
          <w:bCs/>
          <w:sz w:val="24"/>
          <w:szCs w:val="24"/>
        </w:rPr>
        <w:t>s entidades públicas tienen el deber permanente de implementar procesos de depuración de la información financiera</w:t>
      </w:r>
      <w:r w:rsidR="00726C70">
        <w:rPr>
          <w:rFonts w:ascii="Arial" w:hAnsi="Arial" w:cs="Arial"/>
          <w:bCs/>
          <w:sz w:val="24"/>
          <w:szCs w:val="24"/>
        </w:rPr>
        <w:t xml:space="preserve"> donde se ajuste a la realidad jurídica los debe</w:t>
      </w:r>
      <w:r w:rsidR="004C6633">
        <w:rPr>
          <w:rFonts w:ascii="Arial" w:hAnsi="Arial" w:cs="Arial"/>
          <w:bCs/>
          <w:sz w:val="24"/>
          <w:szCs w:val="24"/>
        </w:rPr>
        <w:t>s</w:t>
      </w:r>
      <w:r w:rsidR="00726C70">
        <w:rPr>
          <w:rFonts w:ascii="Arial" w:hAnsi="Arial" w:cs="Arial"/>
          <w:bCs/>
          <w:sz w:val="24"/>
          <w:szCs w:val="24"/>
        </w:rPr>
        <w:t xml:space="preserve"> y </w:t>
      </w:r>
      <w:r w:rsidR="004C6633">
        <w:rPr>
          <w:rFonts w:ascii="Arial" w:hAnsi="Arial" w:cs="Arial"/>
          <w:bCs/>
          <w:sz w:val="24"/>
          <w:szCs w:val="24"/>
        </w:rPr>
        <w:t xml:space="preserve">las </w:t>
      </w:r>
      <w:r w:rsidR="00726C70">
        <w:rPr>
          <w:rFonts w:ascii="Arial" w:hAnsi="Arial" w:cs="Arial"/>
          <w:bCs/>
          <w:sz w:val="24"/>
          <w:szCs w:val="24"/>
        </w:rPr>
        <w:t>acreencias</w:t>
      </w:r>
      <w:r w:rsidRPr="009018D2">
        <w:rPr>
          <w:rFonts w:ascii="Arial" w:hAnsi="Arial" w:cs="Arial"/>
          <w:bCs/>
          <w:sz w:val="24"/>
          <w:szCs w:val="24"/>
        </w:rPr>
        <w:t>. Por lo anterior, deben adelantar las gestiones administrativas necesarias para depurar la información financiera relacionada con los recursos no reclamados</w:t>
      </w:r>
      <w:r w:rsidR="000D502F" w:rsidRPr="009018D2">
        <w:rPr>
          <w:rFonts w:ascii="Arial" w:hAnsi="Arial" w:cs="Arial"/>
          <w:bCs/>
          <w:sz w:val="24"/>
          <w:szCs w:val="24"/>
        </w:rPr>
        <w:t xml:space="preserve">, por terceros interesados.    </w:t>
      </w:r>
    </w:p>
    <w:p w14:paraId="601A70AD" w14:textId="77777777" w:rsidR="00087358" w:rsidRPr="009018D2" w:rsidRDefault="00087358" w:rsidP="009018D2">
      <w:pPr>
        <w:spacing w:after="0" w:line="240" w:lineRule="auto"/>
        <w:jc w:val="both"/>
        <w:rPr>
          <w:rFonts w:ascii="Arial" w:hAnsi="Arial" w:cs="Arial"/>
          <w:bCs/>
          <w:sz w:val="24"/>
          <w:szCs w:val="24"/>
        </w:rPr>
      </w:pPr>
    </w:p>
    <w:p w14:paraId="59AC7284" w14:textId="1A063859" w:rsidR="00C52BDC" w:rsidRDefault="00AE51A0" w:rsidP="009018D2">
      <w:pPr>
        <w:spacing w:after="0" w:line="240" w:lineRule="auto"/>
        <w:jc w:val="both"/>
        <w:rPr>
          <w:rFonts w:ascii="Arial" w:hAnsi="Arial" w:cs="Arial"/>
          <w:bCs/>
          <w:iCs/>
          <w:sz w:val="24"/>
          <w:szCs w:val="24"/>
        </w:rPr>
      </w:pPr>
      <w:r w:rsidRPr="009018D2">
        <w:rPr>
          <w:rFonts w:ascii="Arial" w:hAnsi="Arial" w:cs="Arial"/>
          <w:bCs/>
          <w:sz w:val="24"/>
          <w:szCs w:val="24"/>
        </w:rPr>
        <w:t xml:space="preserve">Esta Dirección se ha soportado para el efecto en lo establecido en el </w:t>
      </w:r>
      <w:r w:rsidR="00C52BDC" w:rsidRPr="009018D2">
        <w:rPr>
          <w:rFonts w:ascii="Arial" w:hAnsi="Arial" w:cs="Arial"/>
          <w:bCs/>
          <w:sz w:val="24"/>
          <w:szCs w:val="24"/>
        </w:rPr>
        <w:t xml:space="preserve"> </w:t>
      </w:r>
      <w:r w:rsidR="00C52BDC" w:rsidRPr="009018D2">
        <w:rPr>
          <w:rFonts w:ascii="Arial" w:hAnsi="Arial" w:cs="Arial"/>
          <w:bCs/>
          <w:iCs/>
          <w:sz w:val="24"/>
          <w:szCs w:val="24"/>
        </w:rPr>
        <w:t xml:space="preserve">Plan Distrital de Desarrollo </w:t>
      </w:r>
      <w:r w:rsidR="00C52BDC" w:rsidRPr="009018D2">
        <w:rPr>
          <w:rFonts w:ascii="Arial" w:hAnsi="Arial" w:cs="Arial"/>
          <w:bCs/>
          <w:i/>
          <w:iCs/>
          <w:sz w:val="24"/>
          <w:szCs w:val="24"/>
        </w:rPr>
        <w:t>“Un nuevo contrato social y ambiental para la Bogotá del Siglo XXI”,</w:t>
      </w:r>
      <w:r w:rsidR="00C52BDC" w:rsidRPr="009018D2">
        <w:rPr>
          <w:rFonts w:ascii="Arial" w:hAnsi="Arial" w:cs="Arial"/>
          <w:bCs/>
          <w:iCs/>
          <w:sz w:val="24"/>
          <w:szCs w:val="24"/>
        </w:rPr>
        <w:t xml:space="preserve"> </w:t>
      </w:r>
      <w:r w:rsidR="00CB4116" w:rsidRPr="009018D2">
        <w:rPr>
          <w:rFonts w:ascii="Arial" w:hAnsi="Arial" w:cs="Arial"/>
          <w:bCs/>
          <w:iCs/>
          <w:sz w:val="24"/>
          <w:szCs w:val="24"/>
        </w:rPr>
        <w:t xml:space="preserve">adoptado mediante el </w:t>
      </w:r>
      <w:r w:rsidR="00C52BDC" w:rsidRPr="009018D2">
        <w:rPr>
          <w:rFonts w:ascii="Arial" w:hAnsi="Arial" w:cs="Arial"/>
          <w:bCs/>
          <w:iCs/>
          <w:sz w:val="24"/>
          <w:szCs w:val="24"/>
        </w:rPr>
        <w:t xml:space="preserve"> Acuerdo Distrital 761 de 2020</w:t>
      </w:r>
      <w:r w:rsidR="00CB4116" w:rsidRPr="009018D2">
        <w:rPr>
          <w:rFonts w:ascii="Arial" w:hAnsi="Arial" w:cs="Arial"/>
          <w:bCs/>
          <w:iCs/>
          <w:sz w:val="24"/>
          <w:szCs w:val="24"/>
        </w:rPr>
        <w:t xml:space="preserve">. </w:t>
      </w:r>
    </w:p>
    <w:p w14:paraId="7BAC6FBE" w14:textId="77777777" w:rsidR="005732F2" w:rsidRPr="009018D2" w:rsidRDefault="005732F2" w:rsidP="009018D2">
      <w:pPr>
        <w:spacing w:after="0" w:line="240" w:lineRule="auto"/>
        <w:jc w:val="both"/>
        <w:rPr>
          <w:rFonts w:ascii="Arial" w:hAnsi="Arial" w:cs="Arial"/>
          <w:bCs/>
          <w:iCs/>
          <w:sz w:val="24"/>
          <w:szCs w:val="24"/>
        </w:rPr>
      </w:pPr>
    </w:p>
    <w:p w14:paraId="178079A2" w14:textId="257C8170" w:rsidR="00C52BDC" w:rsidRPr="009018D2" w:rsidRDefault="006A630F" w:rsidP="00603974">
      <w:pPr>
        <w:spacing w:after="0" w:line="240" w:lineRule="auto"/>
        <w:ind w:left="284" w:right="283"/>
        <w:jc w:val="both"/>
        <w:rPr>
          <w:rFonts w:ascii="Arial" w:hAnsi="Arial" w:cs="Arial"/>
          <w:bCs/>
          <w:i/>
          <w:iCs/>
          <w:lang w:val="es-CO"/>
        </w:rPr>
      </w:pPr>
      <w:r w:rsidRPr="009018D2">
        <w:rPr>
          <w:rFonts w:ascii="Arial" w:hAnsi="Arial" w:cs="Arial"/>
          <w:i/>
          <w:iCs/>
        </w:rPr>
        <w:t>“A</w:t>
      </w:r>
      <w:r w:rsidR="00C52BDC" w:rsidRPr="009018D2">
        <w:rPr>
          <w:rFonts w:ascii="Arial" w:hAnsi="Arial" w:cs="Arial"/>
          <w:i/>
          <w:iCs/>
        </w:rPr>
        <w:t>rtículo 45. Objetivos de la estrategia financiera del Plan Distrital de Desarrollo</w:t>
      </w:r>
      <w:r w:rsidR="00C52BDC" w:rsidRPr="009018D2">
        <w:rPr>
          <w:rFonts w:ascii="Arial" w:hAnsi="Arial" w:cs="Arial"/>
          <w:b/>
          <w:bCs/>
          <w:i/>
          <w:iCs/>
        </w:rPr>
        <w:t>. </w:t>
      </w:r>
      <w:r w:rsidR="00C52BDC" w:rsidRPr="009018D2">
        <w:rPr>
          <w:rFonts w:ascii="Arial" w:hAnsi="Arial" w:cs="Arial"/>
          <w:bCs/>
          <w:i/>
          <w:iCs/>
        </w:rPr>
        <w:t xml:space="preserve">La estrategia financiera del Plan Distrital de Desarrollo contempla los siguientes objetivos: (…)  4. </w:t>
      </w:r>
      <w:r w:rsidR="00C52BDC" w:rsidRPr="009018D2">
        <w:rPr>
          <w:rFonts w:ascii="Arial" w:hAnsi="Arial" w:cs="Arial"/>
          <w:bCs/>
          <w:i/>
          <w:iCs/>
          <w:u w:val="single"/>
        </w:rPr>
        <w:t>Lograr la Sostenibilidad del Sistema Contable Público Distrital, para lo cual, las entidades distritales deben realizar las gestiones administrativas, técnicas y jurídicas pertinentes, para que los Estados Financieros cumplan con las características fundamentales de relevancia y representación fiel</w:t>
      </w:r>
      <w:r w:rsidR="00C52BDC" w:rsidRPr="009018D2">
        <w:rPr>
          <w:rFonts w:ascii="Arial" w:hAnsi="Arial" w:cs="Arial"/>
          <w:bCs/>
          <w:i/>
          <w:iCs/>
        </w:rPr>
        <w:t>.</w:t>
      </w:r>
    </w:p>
    <w:p w14:paraId="36C6F2DA" w14:textId="77777777" w:rsidR="00C52BDC" w:rsidRPr="009018D2" w:rsidRDefault="00C52BDC" w:rsidP="00603974">
      <w:pPr>
        <w:spacing w:after="0" w:line="240" w:lineRule="auto"/>
        <w:ind w:left="284" w:right="283"/>
        <w:jc w:val="both"/>
        <w:rPr>
          <w:rFonts w:ascii="Arial" w:hAnsi="Arial" w:cs="Arial"/>
          <w:bCs/>
          <w:iCs/>
          <w:sz w:val="24"/>
          <w:szCs w:val="24"/>
          <w:lang w:val="es-CO"/>
        </w:rPr>
      </w:pPr>
      <w:r w:rsidRPr="009018D2">
        <w:rPr>
          <w:rFonts w:ascii="Arial" w:hAnsi="Arial" w:cs="Arial"/>
          <w:bCs/>
          <w:iCs/>
          <w:sz w:val="24"/>
          <w:szCs w:val="24"/>
        </w:rPr>
        <w:t> </w:t>
      </w:r>
    </w:p>
    <w:p w14:paraId="095F551D" w14:textId="5157FF4A" w:rsidR="00C52BDC" w:rsidRDefault="00C52BDC" w:rsidP="00603974">
      <w:pPr>
        <w:spacing w:after="0" w:line="240" w:lineRule="auto"/>
        <w:ind w:left="284" w:right="283"/>
        <w:jc w:val="both"/>
        <w:rPr>
          <w:rFonts w:ascii="Arial" w:hAnsi="Arial" w:cs="Arial"/>
          <w:bCs/>
          <w:i/>
          <w:iCs/>
        </w:rPr>
      </w:pPr>
      <w:r w:rsidRPr="009018D2">
        <w:rPr>
          <w:rFonts w:ascii="Arial" w:hAnsi="Arial" w:cs="Arial"/>
          <w:bCs/>
          <w:i/>
          <w:iCs/>
        </w:rPr>
        <w:t xml:space="preserve">Para lograr este objetivo, deben disponer de herramientas que contribuyan a la </w:t>
      </w:r>
      <w:r w:rsidRPr="009018D2">
        <w:rPr>
          <w:rFonts w:ascii="Arial" w:hAnsi="Arial" w:cs="Arial"/>
          <w:bCs/>
          <w:i/>
          <w:iCs/>
          <w:u w:val="single"/>
        </w:rPr>
        <w:t>depuración</w:t>
      </w:r>
      <w:r w:rsidRPr="009018D2">
        <w:rPr>
          <w:rFonts w:ascii="Arial" w:hAnsi="Arial" w:cs="Arial"/>
          <w:bCs/>
          <w:i/>
          <w:iCs/>
        </w:rPr>
        <w:t xml:space="preserve">, mejora continua y sostenibilidad </w:t>
      </w:r>
      <w:r w:rsidRPr="009018D2">
        <w:rPr>
          <w:rFonts w:ascii="Arial" w:hAnsi="Arial" w:cs="Arial"/>
          <w:bCs/>
          <w:i/>
          <w:iCs/>
          <w:u w:val="single"/>
        </w:rPr>
        <w:t>de la información financiera</w:t>
      </w:r>
      <w:r w:rsidRPr="009018D2">
        <w:rPr>
          <w:rFonts w:ascii="Arial" w:hAnsi="Arial" w:cs="Arial"/>
          <w:bCs/>
          <w:i/>
          <w:iCs/>
        </w:rPr>
        <w:t xml:space="preserve">, tales como conformación de Comités Técnicos de Sostenibilidad, metodologías, procedimientos, directrices, controles, estrategias de análisis, reglas de negocio u otros lineamientos.” (Resaltado fuera del texto) </w:t>
      </w:r>
    </w:p>
    <w:p w14:paraId="37E9A0FC" w14:textId="77777777" w:rsidR="00603974" w:rsidRPr="009018D2" w:rsidRDefault="00603974" w:rsidP="009018D2">
      <w:pPr>
        <w:spacing w:after="0" w:line="240" w:lineRule="auto"/>
        <w:ind w:left="426" w:right="283"/>
        <w:jc w:val="both"/>
        <w:rPr>
          <w:rFonts w:ascii="Arial" w:hAnsi="Arial" w:cs="Arial"/>
          <w:bCs/>
          <w:i/>
          <w:iCs/>
          <w:lang w:val="es-CO"/>
        </w:rPr>
      </w:pPr>
    </w:p>
    <w:p w14:paraId="2950EAB1" w14:textId="720B1B28" w:rsidR="00C52BDC" w:rsidRPr="002B3778" w:rsidRDefault="00CC172D" w:rsidP="009018D2">
      <w:pPr>
        <w:spacing w:after="0" w:line="240" w:lineRule="auto"/>
        <w:jc w:val="both"/>
        <w:rPr>
          <w:rFonts w:ascii="Arial" w:hAnsi="Arial" w:cs="Arial"/>
          <w:bCs/>
          <w:iCs/>
          <w:sz w:val="24"/>
          <w:szCs w:val="24"/>
        </w:rPr>
      </w:pPr>
      <w:r w:rsidRPr="002B3778">
        <w:rPr>
          <w:rFonts w:ascii="Arial" w:hAnsi="Arial" w:cs="Arial"/>
          <w:bCs/>
          <w:iCs/>
          <w:sz w:val="24"/>
          <w:szCs w:val="24"/>
        </w:rPr>
        <w:t>En el mismo sentido, desde el punto de vista contable,</w:t>
      </w:r>
      <w:r w:rsidR="005A7D4D" w:rsidRPr="002B3778">
        <w:rPr>
          <w:rFonts w:ascii="Arial" w:hAnsi="Arial" w:cs="Arial"/>
          <w:bCs/>
          <w:iCs/>
          <w:sz w:val="24"/>
          <w:szCs w:val="24"/>
        </w:rPr>
        <w:t xml:space="preserve"> la Contaduría General de la Nación ha expresado el mismo mandato, a través de la Resolución 193 de 2016, </w:t>
      </w:r>
      <w:r w:rsidR="00C75932" w:rsidRPr="002B3778">
        <w:rPr>
          <w:rFonts w:ascii="Arial" w:hAnsi="Arial" w:cs="Arial"/>
          <w:bCs/>
          <w:iCs/>
          <w:sz w:val="24"/>
          <w:szCs w:val="24"/>
        </w:rPr>
        <w:t>“</w:t>
      </w:r>
      <w:r w:rsidR="00C75932" w:rsidRPr="002B3778">
        <w:rPr>
          <w:rFonts w:ascii="Arial" w:hAnsi="Arial" w:cs="Arial"/>
          <w:bCs/>
          <w:i/>
          <w:iCs/>
          <w:sz w:val="24"/>
          <w:szCs w:val="24"/>
          <w:shd w:val="clear" w:color="auto" w:fill="FFFFFF"/>
          <w:lang w:val="es-ES_tradnl"/>
        </w:rPr>
        <w:t xml:space="preserve">Por la cual se Incorpora, en los Procedimientos Transversales del Régimen de </w:t>
      </w:r>
      <w:r w:rsidR="00C75932" w:rsidRPr="002B3778">
        <w:rPr>
          <w:rFonts w:ascii="Arial" w:hAnsi="Arial" w:cs="Arial"/>
          <w:bCs/>
          <w:i/>
          <w:iCs/>
          <w:sz w:val="24"/>
          <w:szCs w:val="24"/>
          <w:shd w:val="clear" w:color="auto" w:fill="FFFFFF"/>
          <w:lang w:val="es-ES_tradnl"/>
        </w:rPr>
        <w:lastRenderedPageBreak/>
        <w:t>Contabilidad Pública, el Procedimiento para la evaluación del control interno contable.”</w:t>
      </w:r>
      <w:r w:rsidR="00B957E1" w:rsidRPr="002B3778">
        <w:rPr>
          <w:rStyle w:val="Refdenotaalpie"/>
          <w:rFonts w:ascii="Arial" w:hAnsi="Arial" w:cs="Arial"/>
          <w:bCs/>
          <w:i/>
          <w:iCs/>
          <w:sz w:val="24"/>
          <w:szCs w:val="24"/>
          <w:shd w:val="clear" w:color="auto" w:fill="FFFFFF"/>
          <w:lang w:val="es-ES_tradnl"/>
        </w:rPr>
        <w:footnoteReference w:id="1"/>
      </w:r>
    </w:p>
    <w:p w14:paraId="3943B6D3" w14:textId="13CA8E73" w:rsidR="00C34062" w:rsidRPr="009018D2" w:rsidRDefault="00C34062" w:rsidP="009018D2">
      <w:pPr>
        <w:spacing w:after="0" w:line="240" w:lineRule="auto"/>
        <w:jc w:val="both"/>
        <w:rPr>
          <w:rFonts w:ascii="Arial" w:hAnsi="Arial" w:cs="Arial"/>
          <w:sz w:val="24"/>
          <w:szCs w:val="24"/>
        </w:rPr>
      </w:pPr>
    </w:p>
    <w:p w14:paraId="41A54DEF" w14:textId="2B4430A6" w:rsidR="002464C2" w:rsidRPr="00F9426F" w:rsidRDefault="00CC172D" w:rsidP="009018D2">
      <w:pPr>
        <w:spacing w:after="0" w:line="240" w:lineRule="auto"/>
        <w:ind w:left="284" w:right="283"/>
        <w:jc w:val="both"/>
        <w:rPr>
          <w:rFonts w:ascii="Arial" w:hAnsi="Arial" w:cs="Arial"/>
          <w:i/>
          <w:iCs/>
          <w:sz w:val="24"/>
          <w:szCs w:val="24"/>
        </w:rPr>
      </w:pPr>
      <w:r w:rsidRPr="00F9426F">
        <w:rPr>
          <w:rFonts w:ascii="Arial" w:hAnsi="Arial" w:cs="Arial"/>
          <w:i/>
          <w:iCs/>
        </w:rPr>
        <w:t>“3.2.15. Depuración contable permanente y sostenible Las entidades cuya información financiera no refleje su realidad económica deberán adelantar las gestiones administrativas para depurar las cifras y demás datos contenidos en los estados financieros, de forma que cumplan las características fundamentales de relevancia y representación fiel. Asimismo, las entidades adelantarán las acciones pertinentes para depurar la información financiera e implementar los controles que sean necesarios a fin de mejorar la calidad de la información.</w:t>
      </w:r>
      <w:r w:rsidR="00B957E1" w:rsidRPr="00F9426F">
        <w:rPr>
          <w:rFonts w:ascii="Arial" w:hAnsi="Arial" w:cs="Arial"/>
          <w:i/>
          <w:iCs/>
        </w:rPr>
        <w:t>”</w:t>
      </w:r>
    </w:p>
    <w:p w14:paraId="3AC418AD" w14:textId="0C30A668" w:rsidR="002464C2" w:rsidRPr="009018D2" w:rsidRDefault="002464C2" w:rsidP="009018D2">
      <w:pPr>
        <w:spacing w:after="0" w:line="240" w:lineRule="auto"/>
        <w:jc w:val="both"/>
        <w:rPr>
          <w:rFonts w:ascii="Arial" w:hAnsi="Arial" w:cs="Arial"/>
          <w:sz w:val="24"/>
          <w:szCs w:val="24"/>
        </w:rPr>
      </w:pPr>
    </w:p>
    <w:p w14:paraId="02B44C6D" w14:textId="3E1E8017" w:rsidR="00AA1A83" w:rsidRPr="009018D2" w:rsidRDefault="001B63E6" w:rsidP="009018D2">
      <w:pPr>
        <w:spacing w:after="0" w:line="240" w:lineRule="auto"/>
        <w:jc w:val="both"/>
        <w:rPr>
          <w:rFonts w:ascii="Arial" w:hAnsi="Arial" w:cs="Arial"/>
          <w:sz w:val="24"/>
          <w:szCs w:val="24"/>
        </w:rPr>
      </w:pPr>
      <w:r w:rsidRPr="009018D2">
        <w:rPr>
          <w:rFonts w:ascii="Arial" w:hAnsi="Arial" w:cs="Arial"/>
          <w:sz w:val="24"/>
          <w:szCs w:val="24"/>
        </w:rPr>
        <w:t xml:space="preserve">De esta manera, </w:t>
      </w:r>
      <w:r w:rsidR="0071312C" w:rsidRPr="009018D2">
        <w:rPr>
          <w:rFonts w:ascii="Arial" w:hAnsi="Arial" w:cs="Arial"/>
          <w:sz w:val="24"/>
          <w:szCs w:val="24"/>
        </w:rPr>
        <w:t xml:space="preserve">con los dos fundamentos que se acaban de mencionar, </w:t>
      </w:r>
      <w:r w:rsidR="00B009C9" w:rsidRPr="009018D2">
        <w:rPr>
          <w:rFonts w:ascii="Arial" w:hAnsi="Arial" w:cs="Arial"/>
          <w:sz w:val="24"/>
          <w:szCs w:val="24"/>
        </w:rPr>
        <w:t>la Subdi</w:t>
      </w:r>
      <w:r w:rsidR="0071312C" w:rsidRPr="009018D2">
        <w:rPr>
          <w:rFonts w:ascii="Arial" w:hAnsi="Arial" w:cs="Arial"/>
          <w:sz w:val="24"/>
          <w:szCs w:val="24"/>
        </w:rPr>
        <w:t>r</w:t>
      </w:r>
      <w:r w:rsidR="00B009C9" w:rsidRPr="009018D2">
        <w:rPr>
          <w:rFonts w:ascii="Arial" w:hAnsi="Arial" w:cs="Arial"/>
          <w:sz w:val="24"/>
          <w:szCs w:val="24"/>
        </w:rPr>
        <w:t>ección</w:t>
      </w:r>
      <w:r w:rsidR="00E06EE3" w:rsidRPr="009018D2">
        <w:rPr>
          <w:rFonts w:ascii="Arial" w:hAnsi="Arial" w:cs="Arial"/>
          <w:sz w:val="24"/>
          <w:szCs w:val="24"/>
        </w:rPr>
        <w:t xml:space="preserve"> </w:t>
      </w:r>
      <w:r w:rsidR="0071312C" w:rsidRPr="009018D2">
        <w:rPr>
          <w:rFonts w:ascii="Arial" w:hAnsi="Arial" w:cs="Arial"/>
          <w:sz w:val="24"/>
          <w:szCs w:val="24"/>
        </w:rPr>
        <w:t>de Gestión Contable de Hacienda puede coordinar las ge</w:t>
      </w:r>
      <w:r w:rsidR="00E06EE3" w:rsidRPr="009018D2">
        <w:rPr>
          <w:rFonts w:ascii="Arial" w:hAnsi="Arial" w:cs="Arial"/>
          <w:sz w:val="24"/>
          <w:szCs w:val="24"/>
        </w:rPr>
        <w:t xml:space="preserve">stiones necesarias para actualizar la información financiera de la entidad. </w:t>
      </w:r>
      <w:r w:rsidR="0044016F" w:rsidRPr="009018D2">
        <w:rPr>
          <w:rFonts w:ascii="Arial" w:hAnsi="Arial" w:cs="Arial"/>
          <w:sz w:val="24"/>
          <w:szCs w:val="24"/>
        </w:rPr>
        <w:t xml:space="preserve"> </w:t>
      </w:r>
      <w:r w:rsidR="00E52A01">
        <w:rPr>
          <w:rFonts w:ascii="Arial" w:hAnsi="Arial" w:cs="Arial"/>
          <w:sz w:val="24"/>
          <w:szCs w:val="24"/>
        </w:rPr>
        <w:t xml:space="preserve">Debe anotarse para efectos de este concepto </w:t>
      </w:r>
      <w:r w:rsidR="00C96F3C">
        <w:rPr>
          <w:rFonts w:ascii="Arial" w:hAnsi="Arial" w:cs="Arial"/>
          <w:sz w:val="24"/>
          <w:szCs w:val="24"/>
        </w:rPr>
        <w:t>que la Resolución 193 de 2016 se refiere a la depuración contable permanent</w:t>
      </w:r>
      <w:r w:rsidR="00DA3B73">
        <w:rPr>
          <w:rFonts w:ascii="Arial" w:hAnsi="Arial" w:cs="Arial"/>
          <w:sz w:val="24"/>
          <w:szCs w:val="24"/>
        </w:rPr>
        <w:t xml:space="preserve">e, lo que </w:t>
      </w:r>
      <w:r w:rsidR="00B71A5E">
        <w:rPr>
          <w:rFonts w:ascii="Arial" w:hAnsi="Arial" w:cs="Arial"/>
          <w:sz w:val="24"/>
          <w:szCs w:val="24"/>
        </w:rPr>
        <w:t xml:space="preserve">busca </w:t>
      </w:r>
      <w:r w:rsidR="007C5B2E">
        <w:rPr>
          <w:rFonts w:ascii="Arial" w:hAnsi="Arial" w:cs="Arial"/>
          <w:sz w:val="24"/>
          <w:szCs w:val="24"/>
        </w:rPr>
        <w:t>justamente que la actualizaci</w:t>
      </w:r>
      <w:r w:rsidR="002E60B6">
        <w:rPr>
          <w:rFonts w:ascii="Arial" w:hAnsi="Arial" w:cs="Arial"/>
          <w:sz w:val="24"/>
          <w:szCs w:val="24"/>
        </w:rPr>
        <w:t>ón periódica de la información financiera.</w:t>
      </w:r>
    </w:p>
    <w:p w14:paraId="732DE8F4" w14:textId="77777777" w:rsidR="00AA1A83" w:rsidRPr="009018D2" w:rsidRDefault="00AA1A83" w:rsidP="009018D2">
      <w:pPr>
        <w:spacing w:after="0" w:line="240" w:lineRule="auto"/>
        <w:jc w:val="both"/>
        <w:rPr>
          <w:rFonts w:ascii="Arial" w:hAnsi="Arial" w:cs="Arial"/>
          <w:sz w:val="24"/>
          <w:szCs w:val="24"/>
        </w:rPr>
      </w:pPr>
    </w:p>
    <w:p w14:paraId="6E01E800" w14:textId="7865A24C" w:rsidR="00205B1B" w:rsidRPr="009018D2" w:rsidRDefault="003D408D" w:rsidP="009018D2">
      <w:pPr>
        <w:spacing w:after="0" w:line="240" w:lineRule="auto"/>
        <w:jc w:val="both"/>
        <w:rPr>
          <w:rFonts w:ascii="Arial" w:hAnsi="Arial" w:cs="Arial"/>
          <w:sz w:val="24"/>
          <w:szCs w:val="24"/>
        </w:rPr>
      </w:pPr>
      <w:r w:rsidRPr="009018D2">
        <w:rPr>
          <w:rFonts w:ascii="Arial" w:hAnsi="Arial" w:cs="Arial"/>
          <w:sz w:val="24"/>
          <w:szCs w:val="24"/>
        </w:rPr>
        <w:t xml:space="preserve">En este mismo sentido, </w:t>
      </w:r>
      <w:r w:rsidR="00205B1B" w:rsidRPr="009018D2">
        <w:rPr>
          <w:rFonts w:ascii="Arial" w:hAnsi="Arial" w:cs="Arial"/>
          <w:sz w:val="24"/>
          <w:szCs w:val="24"/>
        </w:rPr>
        <w:t xml:space="preserve">en la medida en que las conciliaciones bancarias </w:t>
      </w:r>
      <w:r w:rsidR="003336CE" w:rsidRPr="009018D2">
        <w:rPr>
          <w:rFonts w:ascii="Arial" w:hAnsi="Arial" w:cs="Arial"/>
          <w:sz w:val="24"/>
          <w:szCs w:val="24"/>
        </w:rPr>
        <w:t xml:space="preserve">son un componente de la actividad tesoral, </w:t>
      </w:r>
      <w:r w:rsidR="00997C38" w:rsidRPr="009018D2">
        <w:rPr>
          <w:rFonts w:ascii="Arial" w:hAnsi="Arial" w:cs="Arial"/>
          <w:sz w:val="24"/>
          <w:szCs w:val="24"/>
        </w:rPr>
        <w:t xml:space="preserve">éstas </w:t>
      </w:r>
      <w:r w:rsidR="003336CE" w:rsidRPr="009018D2">
        <w:rPr>
          <w:rFonts w:ascii="Arial" w:hAnsi="Arial" w:cs="Arial"/>
          <w:sz w:val="24"/>
          <w:szCs w:val="24"/>
        </w:rPr>
        <w:t xml:space="preserve">deben tener como uno de sus referentes </w:t>
      </w:r>
      <w:r w:rsidR="00FA7DA3" w:rsidRPr="009018D2">
        <w:rPr>
          <w:rFonts w:ascii="Arial" w:hAnsi="Arial" w:cs="Arial"/>
          <w:sz w:val="24"/>
          <w:szCs w:val="24"/>
        </w:rPr>
        <w:t>el Estatuto Orgánico de Presupuesto</w:t>
      </w:r>
      <w:r w:rsidR="00997C38" w:rsidRPr="009018D2">
        <w:rPr>
          <w:rFonts w:ascii="Arial" w:hAnsi="Arial" w:cs="Arial"/>
          <w:sz w:val="24"/>
          <w:szCs w:val="24"/>
        </w:rPr>
        <w:t xml:space="preserve"> Distrital, esto es, el Decreto</w:t>
      </w:r>
      <w:r w:rsidR="002E60B6">
        <w:rPr>
          <w:rFonts w:ascii="Arial" w:hAnsi="Arial" w:cs="Arial"/>
          <w:sz w:val="24"/>
          <w:szCs w:val="24"/>
        </w:rPr>
        <w:t xml:space="preserve"> Distrital </w:t>
      </w:r>
      <w:r w:rsidR="00997C38" w:rsidRPr="009018D2">
        <w:rPr>
          <w:rFonts w:ascii="Arial" w:hAnsi="Arial" w:cs="Arial"/>
          <w:sz w:val="24"/>
          <w:szCs w:val="24"/>
        </w:rPr>
        <w:t xml:space="preserve"> 714 de 1996. </w:t>
      </w:r>
      <w:r w:rsidR="00EA3AA2" w:rsidRPr="009018D2">
        <w:rPr>
          <w:rFonts w:ascii="Arial" w:hAnsi="Arial" w:cs="Arial"/>
          <w:sz w:val="24"/>
          <w:szCs w:val="24"/>
        </w:rPr>
        <w:t xml:space="preserve"> </w:t>
      </w:r>
    </w:p>
    <w:p w14:paraId="4279A7CF" w14:textId="50278578" w:rsidR="00EA3AA2" w:rsidRPr="009018D2" w:rsidRDefault="00EA3AA2" w:rsidP="009018D2">
      <w:pPr>
        <w:spacing w:after="0" w:line="240" w:lineRule="auto"/>
        <w:jc w:val="both"/>
        <w:rPr>
          <w:rFonts w:ascii="Arial" w:hAnsi="Arial" w:cs="Arial"/>
          <w:sz w:val="24"/>
          <w:szCs w:val="24"/>
        </w:rPr>
      </w:pPr>
    </w:p>
    <w:p w14:paraId="17381B32" w14:textId="3324BE55" w:rsidR="00EA3AA2" w:rsidRPr="009018D2" w:rsidRDefault="00EA3AA2" w:rsidP="009018D2">
      <w:pPr>
        <w:spacing w:after="0" w:line="240" w:lineRule="auto"/>
        <w:jc w:val="both"/>
        <w:rPr>
          <w:rFonts w:ascii="Arial" w:hAnsi="Arial" w:cs="Arial"/>
          <w:sz w:val="24"/>
          <w:szCs w:val="24"/>
        </w:rPr>
      </w:pPr>
      <w:r w:rsidRPr="009018D2">
        <w:rPr>
          <w:rFonts w:ascii="Arial" w:hAnsi="Arial" w:cs="Arial"/>
          <w:sz w:val="24"/>
          <w:szCs w:val="24"/>
        </w:rPr>
        <w:t>Dentro de este estatuto orgánico de presupuesto</w:t>
      </w:r>
      <w:r w:rsidR="00AC1652" w:rsidRPr="009018D2">
        <w:rPr>
          <w:rFonts w:ascii="Arial" w:hAnsi="Arial" w:cs="Arial"/>
          <w:sz w:val="24"/>
          <w:szCs w:val="24"/>
        </w:rPr>
        <w:t xml:space="preserve">, </w:t>
      </w:r>
      <w:r w:rsidR="000908F8" w:rsidRPr="009018D2">
        <w:rPr>
          <w:rFonts w:ascii="Arial" w:hAnsi="Arial" w:cs="Arial"/>
          <w:sz w:val="24"/>
          <w:szCs w:val="24"/>
        </w:rPr>
        <w:t xml:space="preserve">dos </w:t>
      </w:r>
      <w:r w:rsidR="00AC1652" w:rsidRPr="009018D2">
        <w:rPr>
          <w:rFonts w:ascii="Arial" w:hAnsi="Arial" w:cs="Arial"/>
          <w:sz w:val="24"/>
          <w:szCs w:val="24"/>
        </w:rPr>
        <w:t xml:space="preserve">de los principios fundamentales </w:t>
      </w:r>
      <w:proofErr w:type="gramStart"/>
      <w:r w:rsidR="00ED1194" w:rsidRPr="009018D2">
        <w:rPr>
          <w:rFonts w:ascii="Arial" w:hAnsi="Arial" w:cs="Arial"/>
          <w:sz w:val="24"/>
          <w:szCs w:val="24"/>
        </w:rPr>
        <w:t xml:space="preserve">son </w:t>
      </w:r>
      <w:r w:rsidR="00AC1652" w:rsidRPr="009018D2">
        <w:rPr>
          <w:rFonts w:ascii="Arial" w:hAnsi="Arial" w:cs="Arial"/>
          <w:sz w:val="24"/>
          <w:szCs w:val="24"/>
        </w:rPr>
        <w:t xml:space="preserve"> la</w:t>
      </w:r>
      <w:proofErr w:type="gramEnd"/>
      <w:r w:rsidR="00AC1652" w:rsidRPr="009018D2">
        <w:rPr>
          <w:rFonts w:ascii="Arial" w:hAnsi="Arial" w:cs="Arial"/>
          <w:sz w:val="24"/>
          <w:szCs w:val="24"/>
        </w:rPr>
        <w:t xml:space="preserve"> anualidad presupuestal</w:t>
      </w:r>
      <w:r w:rsidR="00ED1194" w:rsidRPr="009018D2">
        <w:rPr>
          <w:rFonts w:ascii="Arial" w:hAnsi="Arial" w:cs="Arial"/>
          <w:sz w:val="24"/>
          <w:szCs w:val="24"/>
        </w:rPr>
        <w:t xml:space="preserve"> y la unidad de caja</w:t>
      </w:r>
      <w:r w:rsidR="004C6633">
        <w:rPr>
          <w:rFonts w:ascii="Arial" w:hAnsi="Arial" w:cs="Arial"/>
          <w:sz w:val="24"/>
          <w:szCs w:val="24"/>
        </w:rPr>
        <w:t>:</w:t>
      </w:r>
    </w:p>
    <w:p w14:paraId="0D4E552B" w14:textId="1126074D" w:rsidR="00AC1652" w:rsidRPr="009018D2" w:rsidRDefault="00AC1652" w:rsidP="009018D2">
      <w:pPr>
        <w:spacing w:after="0" w:line="240" w:lineRule="auto"/>
        <w:jc w:val="both"/>
        <w:rPr>
          <w:rFonts w:ascii="Arial" w:hAnsi="Arial" w:cs="Arial"/>
          <w:sz w:val="24"/>
          <w:szCs w:val="24"/>
        </w:rPr>
      </w:pPr>
    </w:p>
    <w:p w14:paraId="480EE568" w14:textId="2DA33FF3" w:rsidR="00AC1652" w:rsidRPr="009018D2" w:rsidRDefault="0066257B" w:rsidP="009018D2">
      <w:pPr>
        <w:spacing w:after="0" w:line="240" w:lineRule="auto"/>
        <w:ind w:left="284" w:right="283"/>
        <w:jc w:val="both"/>
        <w:rPr>
          <w:rFonts w:ascii="Arial" w:hAnsi="Arial" w:cs="Arial"/>
          <w:i/>
          <w:iCs/>
        </w:rPr>
      </w:pPr>
      <w:r>
        <w:rPr>
          <w:rFonts w:ascii="Arial" w:hAnsi="Arial" w:cs="Arial"/>
          <w:i/>
          <w:iCs/>
          <w:shd w:val="clear" w:color="auto" w:fill="FFFFFF"/>
        </w:rPr>
        <w:t>“</w:t>
      </w:r>
      <w:r w:rsidR="00355ED4" w:rsidRPr="009018D2">
        <w:rPr>
          <w:rFonts w:ascii="Arial" w:hAnsi="Arial" w:cs="Arial"/>
          <w:i/>
          <w:iCs/>
          <w:shd w:val="clear" w:color="auto" w:fill="FFFFFF"/>
        </w:rPr>
        <w:t>ARTÍCULO </w:t>
      </w:r>
      <w:bookmarkStart w:id="0" w:name="BM13"/>
      <w:r w:rsidR="00355ED4" w:rsidRPr="009018D2">
        <w:rPr>
          <w:rFonts w:ascii="Arial" w:hAnsi="Arial" w:cs="Arial"/>
          <w:i/>
          <w:iCs/>
        </w:rPr>
        <w:t> </w:t>
      </w:r>
      <w:bookmarkEnd w:id="0"/>
      <w:r w:rsidR="00355ED4" w:rsidRPr="009018D2">
        <w:rPr>
          <w:rFonts w:ascii="Arial" w:hAnsi="Arial" w:cs="Arial"/>
          <w:i/>
          <w:iCs/>
          <w:shd w:val="clear" w:color="auto" w:fill="FFFFFF"/>
        </w:rPr>
        <w:t>13º. De los Principios del Sistema Presupuestal. Los principios del Sistema Presupuestal del Distrito Capital se define de la siguiente forma:</w:t>
      </w:r>
    </w:p>
    <w:p w14:paraId="7134636E" w14:textId="01D76DEC" w:rsidR="009C1961" w:rsidRPr="009018D2" w:rsidRDefault="009C1961" w:rsidP="009018D2">
      <w:pPr>
        <w:spacing w:after="0" w:line="240" w:lineRule="auto"/>
        <w:ind w:left="284" w:right="283"/>
        <w:jc w:val="both"/>
        <w:rPr>
          <w:rFonts w:ascii="Arial" w:hAnsi="Arial" w:cs="Arial"/>
          <w:i/>
          <w:iCs/>
        </w:rPr>
      </w:pPr>
    </w:p>
    <w:p w14:paraId="40A0AD0F" w14:textId="4834C74C" w:rsidR="009C1961" w:rsidRPr="009018D2" w:rsidRDefault="000908F8" w:rsidP="009018D2">
      <w:pPr>
        <w:spacing w:after="0" w:line="240" w:lineRule="auto"/>
        <w:ind w:left="284" w:right="283"/>
        <w:jc w:val="both"/>
        <w:rPr>
          <w:rFonts w:ascii="Arial" w:hAnsi="Arial" w:cs="Arial"/>
          <w:i/>
          <w:iCs/>
        </w:rPr>
      </w:pPr>
      <w:r w:rsidRPr="009018D2">
        <w:rPr>
          <w:rFonts w:ascii="Arial" w:hAnsi="Arial" w:cs="Arial"/>
          <w:i/>
          <w:iCs/>
          <w:shd w:val="clear" w:color="auto" w:fill="FFFFFF"/>
        </w:rPr>
        <w:t xml:space="preserve">c) Anualidad. </w:t>
      </w:r>
      <w:r w:rsidRPr="008A11FB">
        <w:rPr>
          <w:rFonts w:ascii="Arial" w:hAnsi="Arial" w:cs="Arial"/>
          <w:i/>
          <w:iCs/>
          <w:u w:val="single"/>
          <w:shd w:val="clear" w:color="auto" w:fill="FFFFFF"/>
        </w:rPr>
        <w:t>El año fiscal comienza el 1 de enero y termina el 31 de diciembre de cada año.</w:t>
      </w:r>
      <w:r w:rsidRPr="009018D2">
        <w:rPr>
          <w:rFonts w:ascii="Arial" w:hAnsi="Arial" w:cs="Arial"/>
          <w:i/>
          <w:iCs/>
          <w:shd w:val="clear" w:color="auto" w:fill="FFFFFF"/>
        </w:rPr>
        <w:t xml:space="preserve"> Después del 31 de diciembre no podrán asumirse compromisos con cargo a las apropiaciones del año fiscal que se cierra en esa fecha, y los saldos de apropiación no afectados por compromisos caducarán sin excepción</w:t>
      </w:r>
    </w:p>
    <w:p w14:paraId="1C61DE1F" w14:textId="45C75DC2" w:rsidR="009C1961" w:rsidRPr="009018D2" w:rsidRDefault="009C1961" w:rsidP="009018D2">
      <w:pPr>
        <w:spacing w:after="0" w:line="240" w:lineRule="auto"/>
        <w:ind w:left="284" w:right="283"/>
        <w:jc w:val="both"/>
        <w:rPr>
          <w:rFonts w:ascii="Arial" w:hAnsi="Arial" w:cs="Arial"/>
          <w:i/>
          <w:iCs/>
        </w:rPr>
      </w:pPr>
    </w:p>
    <w:p w14:paraId="0C64B3D2" w14:textId="22527A7B" w:rsidR="00EF7E2D" w:rsidRPr="009018D2" w:rsidRDefault="00EF7E2D" w:rsidP="009018D2">
      <w:pPr>
        <w:spacing w:after="0" w:line="240" w:lineRule="auto"/>
        <w:ind w:left="284" w:right="283"/>
        <w:jc w:val="both"/>
        <w:rPr>
          <w:rFonts w:ascii="Arial" w:hAnsi="Arial" w:cs="Arial"/>
          <w:i/>
          <w:iCs/>
        </w:rPr>
      </w:pPr>
      <w:r w:rsidRPr="009018D2">
        <w:rPr>
          <w:rFonts w:ascii="Arial" w:hAnsi="Arial" w:cs="Arial"/>
          <w:i/>
          <w:iCs/>
          <w:shd w:val="clear" w:color="auto" w:fill="FFFFFF"/>
        </w:rPr>
        <w:t xml:space="preserve">e) Unidad de Caja. Con el recaudo </w:t>
      </w:r>
      <w:r w:rsidRPr="008A11FB">
        <w:rPr>
          <w:rFonts w:ascii="Arial" w:hAnsi="Arial" w:cs="Arial"/>
          <w:i/>
          <w:iCs/>
          <w:u w:val="single"/>
          <w:shd w:val="clear" w:color="auto" w:fill="FFFFFF"/>
        </w:rPr>
        <w:t>de todas</w:t>
      </w:r>
      <w:r w:rsidRPr="009018D2">
        <w:rPr>
          <w:rFonts w:ascii="Arial" w:hAnsi="Arial" w:cs="Arial"/>
          <w:i/>
          <w:iCs/>
          <w:shd w:val="clear" w:color="auto" w:fill="FFFFFF"/>
        </w:rPr>
        <w:t xml:space="preserve"> las rentas y recursos de capital se atenderá el pago oportuno de las apropiaciones autorizadas en el Presupuesto Anual del Distrito Capital, salvo las excepciones contempladas en la Ley.</w:t>
      </w:r>
      <w:r w:rsidR="00E4191C">
        <w:rPr>
          <w:rFonts w:ascii="Arial" w:hAnsi="Arial" w:cs="Arial"/>
          <w:i/>
          <w:iCs/>
          <w:shd w:val="clear" w:color="auto" w:fill="FFFFFF"/>
        </w:rPr>
        <w:t xml:space="preserve"> </w:t>
      </w:r>
      <w:r w:rsidR="00E4191C" w:rsidRPr="00E4191C">
        <w:rPr>
          <w:rFonts w:ascii="Arial" w:hAnsi="Arial" w:cs="Arial"/>
          <w:shd w:val="clear" w:color="auto" w:fill="FFFFFF"/>
        </w:rPr>
        <w:t>(Resaltado fuera del texto)</w:t>
      </w:r>
      <w:r w:rsidR="00E4191C">
        <w:rPr>
          <w:rFonts w:ascii="Arial" w:hAnsi="Arial" w:cs="Arial"/>
          <w:i/>
          <w:iCs/>
          <w:shd w:val="clear" w:color="auto" w:fill="FFFFFF"/>
        </w:rPr>
        <w:t xml:space="preserve"> </w:t>
      </w:r>
    </w:p>
    <w:p w14:paraId="1005F39D" w14:textId="2F3836E7" w:rsidR="00A9296A" w:rsidRPr="009018D2" w:rsidRDefault="00A9296A" w:rsidP="009018D2">
      <w:pPr>
        <w:spacing w:after="0" w:line="240" w:lineRule="auto"/>
        <w:jc w:val="both"/>
        <w:rPr>
          <w:rFonts w:ascii="Arial" w:hAnsi="Arial" w:cs="Arial"/>
          <w:sz w:val="24"/>
          <w:szCs w:val="24"/>
        </w:rPr>
      </w:pPr>
    </w:p>
    <w:p w14:paraId="1A9F0713" w14:textId="7B54D876" w:rsidR="00EF7E2D" w:rsidRPr="009018D2" w:rsidRDefault="00F41BCD" w:rsidP="009018D2">
      <w:pPr>
        <w:spacing w:after="0" w:line="240" w:lineRule="auto"/>
        <w:jc w:val="both"/>
        <w:rPr>
          <w:rFonts w:ascii="Arial" w:hAnsi="Arial" w:cs="Arial"/>
          <w:sz w:val="24"/>
          <w:szCs w:val="24"/>
        </w:rPr>
      </w:pPr>
      <w:r w:rsidRPr="009018D2">
        <w:rPr>
          <w:rFonts w:ascii="Arial" w:hAnsi="Arial" w:cs="Arial"/>
          <w:sz w:val="24"/>
          <w:szCs w:val="24"/>
        </w:rPr>
        <w:t>De acuerdo con tales principios</w:t>
      </w:r>
      <w:r w:rsidR="003337C9" w:rsidRPr="009018D2">
        <w:rPr>
          <w:rFonts w:ascii="Arial" w:hAnsi="Arial" w:cs="Arial"/>
          <w:sz w:val="24"/>
          <w:szCs w:val="24"/>
        </w:rPr>
        <w:t xml:space="preserve"> presupuestales</w:t>
      </w:r>
      <w:r w:rsidRPr="009018D2">
        <w:rPr>
          <w:rFonts w:ascii="Arial" w:hAnsi="Arial" w:cs="Arial"/>
          <w:sz w:val="24"/>
          <w:szCs w:val="24"/>
        </w:rPr>
        <w:t xml:space="preserve">,   </w:t>
      </w:r>
      <w:r w:rsidR="004500AE" w:rsidRPr="009018D2">
        <w:rPr>
          <w:rFonts w:ascii="Arial" w:hAnsi="Arial" w:cs="Arial"/>
          <w:sz w:val="24"/>
          <w:szCs w:val="24"/>
        </w:rPr>
        <w:t xml:space="preserve">y </w:t>
      </w:r>
      <w:r w:rsidR="003337C9" w:rsidRPr="009018D2">
        <w:rPr>
          <w:rFonts w:ascii="Arial" w:hAnsi="Arial" w:cs="Arial"/>
          <w:sz w:val="24"/>
          <w:szCs w:val="24"/>
        </w:rPr>
        <w:t xml:space="preserve"> con la </w:t>
      </w:r>
      <w:r w:rsidR="001A5DA1">
        <w:rPr>
          <w:rFonts w:ascii="Arial" w:hAnsi="Arial" w:cs="Arial"/>
          <w:sz w:val="24"/>
          <w:szCs w:val="24"/>
        </w:rPr>
        <w:t xml:space="preserve">depuración permanente </w:t>
      </w:r>
      <w:r w:rsidR="00FD0B6C" w:rsidRPr="009018D2">
        <w:rPr>
          <w:rFonts w:ascii="Arial" w:hAnsi="Arial" w:cs="Arial"/>
          <w:sz w:val="24"/>
          <w:szCs w:val="24"/>
        </w:rPr>
        <w:t xml:space="preserve"> de la información financiera a que se ha hecho referencia, </w:t>
      </w:r>
      <w:r w:rsidR="003337C9" w:rsidRPr="009018D2">
        <w:rPr>
          <w:rFonts w:ascii="Arial" w:hAnsi="Arial" w:cs="Arial"/>
          <w:sz w:val="24"/>
          <w:szCs w:val="24"/>
        </w:rPr>
        <w:t xml:space="preserve"> </w:t>
      </w:r>
      <w:r w:rsidRPr="009018D2">
        <w:rPr>
          <w:rFonts w:ascii="Arial" w:hAnsi="Arial" w:cs="Arial"/>
          <w:sz w:val="24"/>
          <w:szCs w:val="24"/>
        </w:rPr>
        <w:t xml:space="preserve">  </w:t>
      </w:r>
      <w:r w:rsidR="00931A44" w:rsidRPr="009018D2">
        <w:rPr>
          <w:rFonts w:ascii="Arial" w:hAnsi="Arial" w:cs="Arial"/>
          <w:sz w:val="24"/>
          <w:szCs w:val="24"/>
        </w:rPr>
        <w:t xml:space="preserve">las conciliaciones bancarias se </w:t>
      </w:r>
      <w:r w:rsidR="004500AE" w:rsidRPr="009018D2">
        <w:rPr>
          <w:rFonts w:ascii="Arial" w:hAnsi="Arial" w:cs="Arial"/>
          <w:sz w:val="24"/>
          <w:szCs w:val="24"/>
        </w:rPr>
        <w:t>deben realizar</w:t>
      </w:r>
      <w:r w:rsidR="00374C9E" w:rsidRPr="009018D2">
        <w:rPr>
          <w:rFonts w:ascii="Arial" w:hAnsi="Arial" w:cs="Arial"/>
          <w:sz w:val="24"/>
          <w:szCs w:val="24"/>
        </w:rPr>
        <w:t xml:space="preserve"> justamente para que la información financiera de las entidades se encuentre </w:t>
      </w:r>
      <w:r w:rsidR="008625BC" w:rsidRPr="009018D2">
        <w:rPr>
          <w:rFonts w:ascii="Arial" w:hAnsi="Arial" w:cs="Arial"/>
          <w:sz w:val="24"/>
          <w:szCs w:val="24"/>
        </w:rPr>
        <w:t>actualizada de manera permanente</w:t>
      </w:r>
      <w:r w:rsidR="00A51556" w:rsidRPr="009018D2">
        <w:rPr>
          <w:rFonts w:ascii="Arial" w:hAnsi="Arial" w:cs="Arial"/>
          <w:sz w:val="24"/>
          <w:szCs w:val="24"/>
        </w:rPr>
        <w:t>.</w:t>
      </w:r>
    </w:p>
    <w:p w14:paraId="19A12548" w14:textId="562006AF" w:rsidR="00A51556" w:rsidRPr="009018D2" w:rsidRDefault="00A51556" w:rsidP="009018D2">
      <w:pPr>
        <w:spacing w:after="0" w:line="240" w:lineRule="auto"/>
        <w:jc w:val="both"/>
        <w:rPr>
          <w:rFonts w:ascii="Arial" w:hAnsi="Arial" w:cs="Arial"/>
          <w:sz w:val="24"/>
          <w:szCs w:val="24"/>
        </w:rPr>
      </w:pPr>
    </w:p>
    <w:p w14:paraId="25AD4503" w14:textId="4AA0EA8D" w:rsidR="00A51556" w:rsidRPr="009018D2" w:rsidRDefault="00A51556" w:rsidP="009018D2">
      <w:pPr>
        <w:spacing w:after="0" w:line="240" w:lineRule="auto"/>
        <w:jc w:val="both"/>
        <w:rPr>
          <w:rFonts w:ascii="Arial" w:hAnsi="Arial" w:cs="Arial"/>
          <w:sz w:val="24"/>
          <w:szCs w:val="24"/>
        </w:rPr>
      </w:pPr>
      <w:r w:rsidRPr="009018D2">
        <w:rPr>
          <w:rFonts w:ascii="Arial" w:hAnsi="Arial" w:cs="Arial"/>
          <w:sz w:val="24"/>
          <w:szCs w:val="24"/>
        </w:rPr>
        <w:t xml:space="preserve">De esta forma, los recursos </w:t>
      </w:r>
      <w:r w:rsidR="0080312B" w:rsidRPr="009018D2">
        <w:rPr>
          <w:rFonts w:ascii="Arial" w:hAnsi="Arial" w:cs="Arial"/>
          <w:sz w:val="24"/>
          <w:szCs w:val="24"/>
        </w:rPr>
        <w:t xml:space="preserve">tesorales que no se puedan </w:t>
      </w:r>
      <w:r w:rsidR="00255389" w:rsidRPr="009018D2">
        <w:rPr>
          <w:rFonts w:ascii="Arial" w:hAnsi="Arial" w:cs="Arial"/>
          <w:sz w:val="24"/>
          <w:szCs w:val="24"/>
        </w:rPr>
        <w:t xml:space="preserve">conciliar, al finalizar la vigencia fiscal respectiva, </w:t>
      </w:r>
      <w:r w:rsidR="00660940" w:rsidRPr="009018D2">
        <w:rPr>
          <w:rFonts w:ascii="Arial" w:hAnsi="Arial" w:cs="Arial"/>
          <w:sz w:val="24"/>
          <w:szCs w:val="24"/>
        </w:rPr>
        <w:t xml:space="preserve">serán un ingreso corriente del Distrito </w:t>
      </w:r>
      <w:r w:rsidR="00624FA8" w:rsidRPr="009018D2">
        <w:rPr>
          <w:rFonts w:ascii="Arial" w:hAnsi="Arial" w:cs="Arial"/>
          <w:sz w:val="24"/>
          <w:szCs w:val="24"/>
        </w:rPr>
        <w:t xml:space="preserve">Capital, que podrá ser utilizado en la siguiente vigencia fiscal para </w:t>
      </w:r>
      <w:r w:rsidR="004E454B" w:rsidRPr="009018D2">
        <w:rPr>
          <w:rFonts w:ascii="Arial" w:hAnsi="Arial" w:cs="Arial"/>
          <w:sz w:val="24"/>
          <w:szCs w:val="24"/>
        </w:rPr>
        <w:t>sufragar los diferentes gastos del Dis</w:t>
      </w:r>
      <w:r w:rsidR="003328FB" w:rsidRPr="009018D2">
        <w:rPr>
          <w:rFonts w:ascii="Arial" w:hAnsi="Arial" w:cs="Arial"/>
          <w:sz w:val="24"/>
          <w:szCs w:val="24"/>
        </w:rPr>
        <w:t xml:space="preserve">trito, de conformidad con el principio presupuestal de la unidad de caja. </w:t>
      </w:r>
      <w:r w:rsidR="004E454B" w:rsidRPr="009018D2">
        <w:rPr>
          <w:rFonts w:ascii="Arial" w:hAnsi="Arial" w:cs="Arial"/>
          <w:sz w:val="24"/>
          <w:szCs w:val="24"/>
        </w:rPr>
        <w:t xml:space="preserve">  </w:t>
      </w:r>
    </w:p>
    <w:p w14:paraId="47A1C9A0" w14:textId="24C0D0A6" w:rsidR="00EF7E2D" w:rsidRPr="009018D2" w:rsidRDefault="00EF7E2D" w:rsidP="009018D2">
      <w:pPr>
        <w:spacing w:after="0" w:line="240" w:lineRule="auto"/>
        <w:jc w:val="both"/>
        <w:rPr>
          <w:rFonts w:ascii="Arial" w:hAnsi="Arial" w:cs="Arial"/>
          <w:sz w:val="24"/>
          <w:szCs w:val="24"/>
        </w:rPr>
      </w:pPr>
    </w:p>
    <w:p w14:paraId="6B4BF49D" w14:textId="09F761D8" w:rsidR="00B85A87" w:rsidRDefault="00392A6A" w:rsidP="009018D2">
      <w:pPr>
        <w:spacing w:after="0" w:line="240" w:lineRule="auto"/>
        <w:jc w:val="both"/>
        <w:rPr>
          <w:rFonts w:ascii="Arial" w:hAnsi="Arial" w:cs="Arial"/>
          <w:sz w:val="24"/>
          <w:szCs w:val="24"/>
        </w:rPr>
      </w:pPr>
      <w:r w:rsidRPr="009018D2">
        <w:rPr>
          <w:rFonts w:ascii="Arial" w:hAnsi="Arial" w:cs="Arial"/>
          <w:sz w:val="24"/>
          <w:szCs w:val="24"/>
        </w:rPr>
        <w:t xml:space="preserve">Si </w:t>
      </w:r>
      <w:r w:rsidR="00AF5324" w:rsidRPr="009018D2">
        <w:rPr>
          <w:rFonts w:ascii="Arial" w:hAnsi="Arial" w:cs="Arial"/>
          <w:sz w:val="24"/>
          <w:szCs w:val="24"/>
        </w:rPr>
        <w:t>algún</w:t>
      </w:r>
      <w:r w:rsidRPr="009018D2">
        <w:rPr>
          <w:rFonts w:ascii="Arial" w:hAnsi="Arial" w:cs="Arial"/>
          <w:sz w:val="24"/>
          <w:szCs w:val="24"/>
        </w:rPr>
        <w:t xml:space="preserve"> tercero reclamara un derecho, y  éste fuere procedente reconocerlo y pagarlo, lo será </w:t>
      </w:r>
      <w:r w:rsidR="006B34F3" w:rsidRPr="009018D2">
        <w:rPr>
          <w:rFonts w:ascii="Arial" w:hAnsi="Arial" w:cs="Arial"/>
          <w:sz w:val="24"/>
          <w:szCs w:val="24"/>
        </w:rPr>
        <w:t>con soporte en el respectivo presupuesto anual de</w:t>
      </w:r>
      <w:r w:rsidR="00B85A87">
        <w:rPr>
          <w:rFonts w:ascii="Arial" w:hAnsi="Arial" w:cs="Arial"/>
          <w:sz w:val="24"/>
          <w:szCs w:val="24"/>
        </w:rPr>
        <w:t>l Distrito Capital.</w:t>
      </w:r>
    </w:p>
    <w:p w14:paraId="70C3C0B3" w14:textId="77777777" w:rsidR="00437DF2" w:rsidRDefault="00437DF2" w:rsidP="009018D2">
      <w:pPr>
        <w:spacing w:after="0" w:line="240" w:lineRule="auto"/>
        <w:jc w:val="both"/>
        <w:rPr>
          <w:rFonts w:ascii="Arial" w:hAnsi="Arial" w:cs="Arial"/>
          <w:b/>
          <w:sz w:val="24"/>
          <w:szCs w:val="24"/>
        </w:rPr>
      </w:pPr>
    </w:p>
    <w:p w14:paraId="12A00065" w14:textId="5EEE230E" w:rsidR="008B0FD3" w:rsidRPr="009018D2" w:rsidRDefault="008B0FD3" w:rsidP="009018D2">
      <w:pPr>
        <w:spacing w:after="0" w:line="240" w:lineRule="auto"/>
        <w:jc w:val="both"/>
        <w:rPr>
          <w:rFonts w:ascii="Arial" w:hAnsi="Arial" w:cs="Arial"/>
          <w:b/>
          <w:sz w:val="24"/>
          <w:szCs w:val="24"/>
        </w:rPr>
      </w:pPr>
      <w:r w:rsidRPr="009018D2">
        <w:rPr>
          <w:rFonts w:ascii="Arial" w:hAnsi="Arial" w:cs="Arial"/>
          <w:b/>
          <w:sz w:val="24"/>
          <w:szCs w:val="24"/>
        </w:rPr>
        <w:t xml:space="preserve">CONCLUSIÓN </w:t>
      </w:r>
    </w:p>
    <w:p w14:paraId="205CFC15" w14:textId="0139771A" w:rsidR="00C45140" w:rsidRPr="009018D2" w:rsidRDefault="00C45140" w:rsidP="009018D2">
      <w:pPr>
        <w:spacing w:after="0" w:line="240" w:lineRule="auto"/>
        <w:jc w:val="both"/>
        <w:rPr>
          <w:rFonts w:ascii="Arial" w:hAnsi="Arial" w:cs="Arial"/>
          <w:sz w:val="24"/>
          <w:szCs w:val="24"/>
        </w:rPr>
      </w:pPr>
    </w:p>
    <w:p w14:paraId="149AC10B" w14:textId="14BFE6E5" w:rsidR="00BE7267" w:rsidRPr="009018D2" w:rsidRDefault="00BE7267" w:rsidP="009018D2">
      <w:pPr>
        <w:spacing w:after="0" w:line="240" w:lineRule="auto"/>
        <w:jc w:val="both"/>
        <w:rPr>
          <w:rFonts w:ascii="Arial" w:hAnsi="Arial" w:cs="Arial"/>
          <w:sz w:val="24"/>
          <w:szCs w:val="24"/>
        </w:rPr>
      </w:pPr>
      <w:r w:rsidRPr="009018D2">
        <w:rPr>
          <w:rFonts w:ascii="Arial" w:hAnsi="Arial" w:cs="Arial"/>
          <w:sz w:val="24"/>
          <w:szCs w:val="24"/>
        </w:rPr>
        <w:t xml:space="preserve">Con fundamento en </w:t>
      </w:r>
      <w:r w:rsidR="00437DF2">
        <w:rPr>
          <w:rFonts w:ascii="Arial" w:hAnsi="Arial" w:cs="Arial"/>
          <w:sz w:val="24"/>
          <w:szCs w:val="24"/>
        </w:rPr>
        <w:t xml:space="preserve">las </w:t>
      </w:r>
      <w:r w:rsidR="002E517C" w:rsidRPr="009018D2">
        <w:rPr>
          <w:rFonts w:ascii="Arial" w:hAnsi="Arial" w:cs="Arial"/>
          <w:sz w:val="24"/>
          <w:szCs w:val="24"/>
        </w:rPr>
        <w:t>disposiciones</w:t>
      </w:r>
      <w:r w:rsidR="00375A18" w:rsidRPr="009018D2">
        <w:rPr>
          <w:rFonts w:ascii="Arial" w:hAnsi="Arial" w:cs="Arial"/>
          <w:sz w:val="24"/>
          <w:szCs w:val="24"/>
        </w:rPr>
        <w:t xml:space="preserve"> orgánico presupuestales y contables</w:t>
      </w:r>
      <w:r w:rsidR="00437DF2">
        <w:rPr>
          <w:rFonts w:ascii="Arial" w:hAnsi="Arial" w:cs="Arial"/>
          <w:sz w:val="24"/>
          <w:szCs w:val="24"/>
        </w:rPr>
        <w:t xml:space="preserve"> mencionadas</w:t>
      </w:r>
      <w:r w:rsidR="002E517C" w:rsidRPr="009018D2">
        <w:rPr>
          <w:rFonts w:ascii="Arial" w:hAnsi="Arial" w:cs="Arial"/>
          <w:sz w:val="24"/>
          <w:szCs w:val="24"/>
        </w:rPr>
        <w:t>, esta Dirección   responde las preguntas formuladas</w:t>
      </w:r>
      <w:r w:rsidR="00E12788" w:rsidRPr="009018D2">
        <w:rPr>
          <w:rFonts w:ascii="Arial" w:hAnsi="Arial" w:cs="Arial"/>
          <w:sz w:val="24"/>
          <w:szCs w:val="24"/>
        </w:rPr>
        <w:t xml:space="preserve">. </w:t>
      </w:r>
    </w:p>
    <w:p w14:paraId="2794FAF0" w14:textId="7E0741BD" w:rsidR="00487C71" w:rsidRPr="009018D2" w:rsidRDefault="00487C71" w:rsidP="009018D2">
      <w:pPr>
        <w:spacing w:after="0" w:line="240" w:lineRule="auto"/>
        <w:jc w:val="both"/>
        <w:rPr>
          <w:rFonts w:ascii="Arial" w:hAnsi="Arial" w:cs="Arial"/>
          <w:sz w:val="24"/>
          <w:szCs w:val="24"/>
        </w:rPr>
      </w:pPr>
    </w:p>
    <w:p w14:paraId="0A6B9E04" w14:textId="60EDA9FC" w:rsidR="00F91216" w:rsidRPr="00637B76" w:rsidRDefault="00F91216" w:rsidP="009018D2">
      <w:pPr>
        <w:autoSpaceDE w:val="0"/>
        <w:autoSpaceDN w:val="0"/>
        <w:adjustRightInd w:val="0"/>
        <w:spacing w:after="0" w:line="240" w:lineRule="auto"/>
        <w:jc w:val="both"/>
        <w:rPr>
          <w:rFonts w:ascii="Arial" w:hAnsi="Arial" w:cs="Arial"/>
          <w:i/>
          <w:iCs/>
          <w:sz w:val="24"/>
          <w:szCs w:val="24"/>
          <w:lang w:val="es-CO"/>
        </w:rPr>
      </w:pPr>
      <w:r w:rsidRPr="00637B76">
        <w:rPr>
          <w:rFonts w:ascii="Arial" w:hAnsi="Arial" w:cs="Arial"/>
          <w:i/>
          <w:iCs/>
          <w:sz w:val="24"/>
          <w:szCs w:val="24"/>
          <w:lang w:val="es-CO"/>
        </w:rPr>
        <w:t>¿Aplica algún t</w:t>
      </w:r>
      <w:r w:rsidR="004C6633">
        <w:rPr>
          <w:rFonts w:ascii="Arial" w:hAnsi="Arial" w:cs="Arial"/>
          <w:i/>
          <w:iCs/>
          <w:sz w:val="24"/>
          <w:szCs w:val="24"/>
          <w:lang w:val="es-CO"/>
        </w:rPr>
        <w:t>é</w:t>
      </w:r>
      <w:r w:rsidRPr="00637B76">
        <w:rPr>
          <w:rFonts w:ascii="Arial" w:hAnsi="Arial" w:cs="Arial"/>
          <w:i/>
          <w:iCs/>
          <w:sz w:val="24"/>
          <w:szCs w:val="24"/>
          <w:lang w:val="es-CO"/>
        </w:rPr>
        <w:t xml:space="preserve">rmino de prescripción que permita incorporar las partidas conciliatorias del Bancolombia como un ingreso en la SDH? </w:t>
      </w:r>
    </w:p>
    <w:p w14:paraId="5D99BB65" w14:textId="51E722D5" w:rsidR="00F91216" w:rsidRPr="009018D2" w:rsidRDefault="00F91216" w:rsidP="009018D2">
      <w:pPr>
        <w:autoSpaceDE w:val="0"/>
        <w:autoSpaceDN w:val="0"/>
        <w:adjustRightInd w:val="0"/>
        <w:spacing w:after="0" w:line="240" w:lineRule="auto"/>
        <w:jc w:val="both"/>
        <w:rPr>
          <w:rFonts w:ascii="Arial" w:hAnsi="Arial" w:cs="Arial"/>
          <w:i/>
          <w:iCs/>
          <w:sz w:val="24"/>
          <w:szCs w:val="24"/>
          <w:lang w:val="es-CO"/>
        </w:rPr>
      </w:pPr>
    </w:p>
    <w:p w14:paraId="2B30158E" w14:textId="659D616A" w:rsidR="00E12788" w:rsidRPr="009018D2" w:rsidRDefault="00D541BE" w:rsidP="009018D2">
      <w:pPr>
        <w:autoSpaceDE w:val="0"/>
        <w:autoSpaceDN w:val="0"/>
        <w:adjustRightInd w:val="0"/>
        <w:spacing w:after="0" w:line="240" w:lineRule="auto"/>
        <w:jc w:val="both"/>
        <w:rPr>
          <w:rFonts w:ascii="Arial" w:hAnsi="Arial" w:cs="Arial"/>
          <w:sz w:val="24"/>
          <w:szCs w:val="24"/>
          <w:lang w:val="es-CO"/>
        </w:rPr>
      </w:pPr>
      <w:r>
        <w:rPr>
          <w:rFonts w:ascii="Arial" w:hAnsi="Arial" w:cs="Arial"/>
          <w:sz w:val="24"/>
          <w:szCs w:val="24"/>
          <w:lang w:val="es-CO"/>
        </w:rPr>
        <w:t>La</w:t>
      </w:r>
      <w:r w:rsidR="00115ACC" w:rsidRPr="009018D2">
        <w:rPr>
          <w:rFonts w:ascii="Arial" w:hAnsi="Arial" w:cs="Arial"/>
          <w:sz w:val="24"/>
          <w:szCs w:val="24"/>
          <w:lang w:val="es-CO"/>
        </w:rPr>
        <w:t xml:space="preserve"> prescripción</w:t>
      </w:r>
      <w:r>
        <w:rPr>
          <w:rFonts w:ascii="Arial" w:hAnsi="Arial" w:cs="Arial"/>
          <w:sz w:val="24"/>
          <w:szCs w:val="24"/>
          <w:lang w:val="es-CO"/>
        </w:rPr>
        <w:t xml:space="preserve"> depende de la naturaleza de la obligación o derecho</w:t>
      </w:r>
      <w:r w:rsidR="00115ACC" w:rsidRPr="009018D2">
        <w:rPr>
          <w:rFonts w:ascii="Arial" w:hAnsi="Arial" w:cs="Arial"/>
          <w:sz w:val="24"/>
          <w:szCs w:val="24"/>
          <w:lang w:val="es-CO"/>
        </w:rPr>
        <w:t>.</w:t>
      </w:r>
      <w:r>
        <w:rPr>
          <w:rFonts w:ascii="Arial" w:hAnsi="Arial" w:cs="Arial"/>
          <w:sz w:val="24"/>
          <w:szCs w:val="24"/>
          <w:lang w:val="es-CO"/>
        </w:rPr>
        <w:t xml:space="preserve"> Si se trata de ingresos distritales cuyo origen es indeterminado, es viable depurarlo al momento de constatar la imposibilidad de determinar ese origen.</w:t>
      </w:r>
      <w:r w:rsidR="007E05E9" w:rsidRPr="009018D2">
        <w:rPr>
          <w:rFonts w:ascii="Arial" w:hAnsi="Arial" w:cs="Arial"/>
          <w:sz w:val="24"/>
          <w:szCs w:val="24"/>
          <w:lang w:val="es-CO"/>
        </w:rPr>
        <w:t xml:space="preserve"> </w:t>
      </w:r>
    </w:p>
    <w:p w14:paraId="2B20CCD1" w14:textId="77777777" w:rsidR="00E12788" w:rsidRPr="00637B76" w:rsidRDefault="00E12788" w:rsidP="009018D2">
      <w:pPr>
        <w:autoSpaceDE w:val="0"/>
        <w:autoSpaceDN w:val="0"/>
        <w:adjustRightInd w:val="0"/>
        <w:spacing w:after="0" w:line="240" w:lineRule="auto"/>
        <w:jc w:val="both"/>
        <w:rPr>
          <w:rFonts w:ascii="Arial" w:hAnsi="Arial" w:cs="Arial"/>
          <w:i/>
          <w:iCs/>
          <w:sz w:val="24"/>
          <w:szCs w:val="24"/>
          <w:lang w:val="es-CO"/>
        </w:rPr>
      </w:pPr>
    </w:p>
    <w:p w14:paraId="6DB6F784" w14:textId="77777777" w:rsidR="00F91216" w:rsidRPr="00637B76" w:rsidRDefault="00F91216" w:rsidP="009018D2">
      <w:pPr>
        <w:autoSpaceDE w:val="0"/>
        <w:autoSpaceDN w:val="0"/>
        <w:adjustRightInd w:val="0"/>
        <w:spacing w:after="0" w:line="240" w:lineRule="auto"/>
        <w:jc w:val="both"/>
        <w:rPr>
          <w:rFonts w:ascii="Arial" w:hAnsi="Arial" w:cs="Arial"/>
          <w:i/>
          <w:iCs/>
          <w:sz w:val="24"/>
          <w:szCs w:val="24"/>
          <w:lang w:val="es-CO"/>
        </w:rPr>
      </w:pPr>
      <w:r w:rsidRPr="00637B76">
        <w:rPr>
          <w:rFonts w:ascii="Arial" w:hAnsi="Arial" w:cs="Arial"/>
          <w:i/>
          <w:iCs/>
          <w:sz w:val="24"/>
          <w:szCs w:val="24"/>
          <w:lang w:val="es-CO"/>
        </w:rPr>
        <w:t xml:space="preserve">2. ¿Cuál es la viabilidad legal para incorporar los ingresos por las partidas conciliatorias del Bancolombia como ingresos de la SDH y su correspondiente registro en el presupuesto de ingresos de la Administración Central? </w:t>
      </w:r>
    </w:p>
    <w:p w14:paraId="1F427D63" w14:textId="0896F30E" w:rsidR="00F91216" w:rsidRPr="009018D2" w:rsidRDefault="00F91216" w:rsidP="009018D2">
      <w:pPr>
        <w:autoSpaceDE w:val="0"/>
        <w:autoSpaceDN w:val="0"/>
        <w:adjustRightInd w:val="0"/>
        <w:spacing w:after="0" w:line="240" w:lineRule="auto"/>
        <w:jc w:val="both"/>
        <w:rPr>
          <w:rFonts w:ascii="Arial" w:hAnsi="Arial" w:cs="Arial"/>
          <w:i/>
          <w:iCs/>
          <w:sz w:val="24"/>
          <w:szCs w:val="24"/>
          <w:lang w:val="es-CO"/>
        </w:rPr>
      </w:pPr>
    </w:p>
    <w:p w14:paraId="21F71909" w14:textId="61AF07E2" w:rsidR="004F3734" w:rsidRPr="009018D2" w:rsidRDefault="004F3734" w:rsidP="009018D2">
      <w:pPr>
        <w:autoSpaceDE w:val="0"/>
        <w:autoSpaceDN w:val="0"/>
        <w:adjustRightInd w:val="0"/>
        <w:spacing w:after="0" w:line="240" w:lineRule="auto"/>
        <w:jc w:val="both"/>
        <w:rPr>
          <w:rFonts w:ascii="Arial" w:hAnsi="Arial" w:cs="Arial"/>
          <w:sz w:val="24"/>
          <w:szCs w:val="24"/>
          <w:lang w:val="es-CO"/>
        </w:rPr>
      </w:pPr>
      <w:r w:rsidRPr="009018D2">
        <w:rPr>
          <w:rFonts w:ascii="Arial" w:hAnsi="Arial" w:cs="Arial"/>
          <w:sz w:val="24"/>
          <w:szCs w:val="24"/>
          <w:lang w:val="es-CO"/>
        </w:rPr>
        <w:t xml:space="preserve">La viabilidad legal </w:t>
      </w:r>
      <w:r w:rsidR="006B722F" w:rsidRPr="009018D2">
        <w:rPr>
          <w:rFonts w:ascii="Arial" w:hAnsi="Arial" w:cs="Arial"/>
          <w:sz w:val="24"/>
          <w:szCs w:val="24"/>
          <w:lang w:val="es-CO"/>
        </w:rPr>
        <w:t xml:space="preserve">para </w:t>
      </w:r>
      <w:r w:rsidR="00EF3CC3" w:rsidRPr="009018D2">
        <w:rPr>
          <w:rFonts w:ascii="Arial" w:hAnsi="Arial" w:cs="Arial"/>
          <w:sz w:val="24"/>
          <w:szCs w:val="24"/>
          <w:lang w:val="es-CO"/>
        </w:rPr>
        <w:t>incorporar</w:t>
      </w:r>
      <w:r w:rsidR="006B722F" w:rsidRPr="009018D2">
        <w:rPr>
          <w:rFonts w:ascii="Arial" w:hAnsi="Arial" w:cs="Arial"/>
          <w:sz w:val="24"/>
          <w:szCs w:val="24"/>
          <w:lang w:val="es-CO"/>
        </w:rPr>
        <w:t xml:space="preserve"> los ingresos por las partidas conciliatorias </w:t>
      </w:r>
      <w:r w:rsidR="00EF3CC3" w:rsidRPr="009018D2">
        <w:rPr>
          <w:rFonts w:ascii="Arial" w:hAnsi="Arial" w:cs="Arial"/>
          <w:sz w:val="24"/>
          <w:szCs w:val="24"/>
          <w:lang w:val="es-CO"/>
        </w:rPr>
        <w:t xml:space="preserve">en el presupuesto de ingresos de la Administración Central </w:t>
      </w:r>
      <w:r w:rsidR="00D23828" w:rsidRPr="009018D2">
        <w:rPr>
          <w:rFonts w:ascii="Arial" w:hAnsi="Arial" w:cs="Arial"/>
          <w:sz w:val="24"/>
          <w:szCs w:val="24"/>
          <w:lang w:val="es-CO"/>
        </w:rPr>
        <w:t xml:space="preserve">se </w:t>
      </w:r>
      <w:r w:rsidR="00F00EE9" w:rsidRPr="009018D2">
        <w:rPr>
          <w:rFonts w:ascii="Arial" w:hAnsi="Arial" w:cs="Arial"/>
          <w:sz w:val="24"/>
          <w:szCs w:val="24"/>
          <w:lang w:val="es-CO"/>
        </w:rPr>
        <w:t xml:space="preserve">traduce </w:t>
      </w:r>
      <w:r w:rsidR="00D23828" w:rsidRPr="009018D2">
        <w:rPr>
          <w:rFonts w:ascii="Arial" w:hAnsi="Arial" w:cs="Arial"/>
          <w:sz w:val="24"/>
          <w:szCs w:val="24"/>
          <w:lang w:val="es-CO"/>
        </w:rPr>
        <w:t>en los principios presupuestales de la anualidad y de la unidad de caja</w:t>
      </w:r>
      <w:r w:rsidR="007F5788" w:rsidRPr="009018D2">
        <w:rPr>
          <w:rFonts w:ascii="Arial" w:hAnsi="Arial" w:cs="Arial"/>
          <w:sz w:val="24"/>
          <w:szCs w:val="24"/>
          <w:lang w:val="es-CO"/>
        </w:rPr>
        <w:t xml:space="preserve">, y en los principios de actualización de la información </w:t>
      </w:r>
      <w:r w:rsidR="00890A47" w:rsidRPr="009018D2">
        <w:rPr>
          <w:rFonts w:ascii="Arial" w:hAnsi="Arial" w:cs="Arial"/>
          <w:sz w:val="24"/>
          <w:szCs w:val="24"/>
          <w:lang w:val="es-CO"/>
        </w:rPr>
        <w:t xml:space="preserve">financiera, a que se refieren el artículo 45 del Acuerdo Distrital 761 de 2020 </w:t>
      </w:r>
      <w:r w:rsidR="00C72ED5" w:rsidRPr="009018D2">
        <w:rPr>
          <w:rFonts w:ascii="Arial" w:hAnsi="Arial" w:cs="Arial"/>
          <w:sz w:val="24"/>
          <w:szCs w:val="24"/>
          <w:lang w:val="es-CO"/>
        </w:rPr>
        <w:t xml:space="preserve">y la Resolución 193 de 2016, expedida por la </w:t>
      </w:r>
      <w:r w:rsidR="00C72ED5" w:rsidRPr="009018D2">
        <w:rPr>
          <w:rFonts w:ascii="Arial" w:hAnsi="Arial" w:cs="Arial"/>
          <w:bCs/>
          <w:iCs/>
          <w:sz w:val="24"/>
          <w:szCs w:val="24"/>
        </w:rPr>
        <w:t>Contaduría General de la Nación.</w:t>
      </w:r>
    </w:p>
    <w:p w14:paraId="61C7A132" w14:textId="427FE57D" w:rsidR="004F3734" w:rsidRPr="009018D2" w:rsidRDefault="004F3734" w:rsidP="009018D2">
      <w:pPr>
        <w:autoSpaceDE w:val="0"/>
        <w:autoSpaceDN w:val="0"/>
        <w:adjustRightInd w:val="0"/>
        <w:spacing w:after="0" w:line="240" w:lineRule="auto"/>
        <w:jc w:val="both"/>
        <w:rPr>
          <w:rFonts w:ascii="Arial" w:hAnsi="Arial" w:cs="Arial"/>
          <w:i/>
          <w:iCs/>
          <w:sz w:val="24"/>
          <w:szCs w:val="24"/>
          <w:lang w:val="es-CO"/>
        </w:rPr>
      </w:pPr>
    </w:p>
    <w:p w14:paraId="54D1114F" w14:textId="77777777" w:rsidR="00F91216" w:rsidRPr="00637B76" w:rsidRDefault="00F91216" w:rsidP="009018D2">
      <w:pPr>
        <w:autoSpaceDE w:val="0"/>
        <w:autoSpaceDN w:val="0"/>
        <w:adjustRightInd w:val="0"/>
        <w:spacing w:after="0" w:line="240" w:lineRule="auto"/>
        <w:jc w:val="both"/>
        <w:rPr>
          <w:rFonts w:ascii="Arial" w:hAnsi="Arial" w:cs="Arial"/>
          <w:i/>
          <w:iCs/>
          <w:sz w:val="24"/>
          <w:szCs w:val="24"/>
          <w:lang w:val="es-CO"/>
        </w:rPr>
      </w:pPr>
      <w:r w:rsidRPr="00637B76">
        <w:rPr>
          <w:rFonts w:ascii="Arial" w:hAnsi="Arial" w:cs="Arial"/>
          <w:i/>
          <w:iCs/>
          <w:sz w:val="24"/>
          <w:szCs w:val="24"/>
          <w:lang w:val="es-CO"/>
        </w:rPr>
        <w:t xml:space="preserve">3. ¿Cuál es la viabilidad legal para asumir la partida conciliatoria del Banco de Bogotá como un gasto en la SDH y su registro en el presupuesto de gastos de la entidad? </w:t>
      </w:r>
    </w:p>
    <w:p w14:paraId="7771E0B9" w14:textId="66C71D27" w:rsidR="00BE7267" w:rsidRPr="009018D2" w:rsidRDefault="00BE7267" w:rsidP="009018D2">
      <w:pPr>
        <w:spacing w:after="0" w:line="240" w:lineRule="auto"/>
        <w:jc w:val="both"/>
        <w:rPr>
          <w:rFonts w:ascii="Arial" w:hAnsi="Arial" w:cs="Arial"/>
          <w:sz w:val="24"/>
          <w:szCs w:val="24"/>
        </w:rPr>
      </w:pPr>
    </w:p>
    <w:p w14:paraId="7FB65C6C" w14:textId="0220D9F3" w:rsidR="00BE7267" w:rsidRPr="009018D2" w:rsidRDefault="00E53C43" w:rsidP="009018D2">
      <w:pPr>
        <w:spacing w:after="0" w:line="240" w:lineRule="auto"/>
        <w:jc w:val="both"/>
        <w:rPr>
          <w:rFonts w:ascii="Arial" w:hAnsi="Arial" w:cs="Arial"/>
          <w:sz w:val="24"/>
          <w:szCs w:val="24"/>
        </w:rPr>
      </w:pPr>
      <w:r w:rsidRPr="009018D2">
        <w:rPr>
          <w:rFonts w:ascii="Arial" w:hAnsi="Arial" w:cs="Arial"/>
          <w:sz w:val="24"/>
          <w:szCs w:val="24"/>
          <w:lang w:val="es-CO"/>
        </w:rPr>
        <w:t>L</w:t>
      </w:r>
      <w:r w:rsidRPr="00637B76">
        <w:rPr>
          <w:rFonts w:ascii="Arial" w:hAnsi="Arial" w:cs="Arial"/>
          <w:sz w:val="24"/>
          <w:szCs w:val="24"/>
          <w:lang w:val="es-CO"/>
        </w:rPr>
        <w:t>a viabilidad legal para asumir la partida conciliatoria del Banco de Bogotá como un gasto en la SDH y su registro en el presupuesto de gastos de la entidad</w:t>
      </w:r>
      <w:r w:rsidR="00B5785B" w:rsidRPr="009018D2">
        <w:rPr>
          <w:rFonts w:ascii="Arial" w:hAnsi="Arial" w:cs="Arial"/>
          <w:sz w:val="24"/>
          <w:szCs w:val="24"/>
          <w:lang w:val="es-CO"/>
        </w:rPr>
        <w:t xml:space="preserve"> se </w:t>
      </w:r>
      <w:r w:rsidR="00F00EE9" w:rsidRPr="009018D2">
        <w:rPr>
          <w:rFonts w:ascii="Arial" w:hAnsi="Arial" w:cs="Arial"/>
          <w:sz w:val="24"/>
          <w:szCs w:val="24"/>
          <w:lang w:val="es-CO"/>
        </w:rPr>
        <w:t xml:space="preserve">traduce en los principios de actualización de la información financiera, a que se refieren el artículo 45 del Acuerdo Distrital 761 de 2020 y la Resolución 193 de 2016, expedida por la </w:t>
      </w:r>
      <w:r w:rsidR="00F00EE9" w:rsidRPr="009018D2">
        <w:rPr>
          <w:rFonts w:ascii="Arial" w:hAnsi="Arial" w:cs="Arial"/>
          <w:bCs/>
          <w:iCs/>
          <w:sz w:val="24"/>
          <w:szCs w:val="24"/>
        </w:rPr>
        <w:t>Contaduría General de la Nación.</w:t>
      </w:r>
    </w:p>
    <w:p w14:paraId="54A3D6AE" w14:textId="2C6FAD13" w:rsidR="00BE7267" w:rsidRPr="009018D2" w:rsidRDefault="00BE7267" w:rsidP="009018D2">
      <w:pPr>
        <w:spacing w:after="0" w:line="240" w:lineRule="auto"/>
        <w:jc w:val="both"/>
        <w:rPr>
          <w:rFonts w:ascii="Arial" w:hAnsi="Arial" w:cs="Arial"/>
          <w:sz w:val="24"/>
          <w:szCs w:val="24"/>
        </w:rPr>
      </w:pPr>
    </w:p>
    <w:p w14:paraId="72B3D39D" w14:textId="18B66031" w:rsidR="00171E49" w:rsidRPr="009018D2" w:rsidRDefault="00171E49" w:rsidP="009018D2">
      <w:pPr>
        <w:spacing w:after="0" w:line="240" w:lineRule="auto"/>
        <w:jc w:val="both"/>
        <w:rPr>
          <w:rFonts w:ascii="Arial" w:hAnsi="Arial" w:cs="Arial"/>
          <w:sz w:val="24"/>
          <w:szCs w:val="24"/>
        </w:rPr>
      </w:pPr>
      <w:r w:rsidRPr="009018D2">
        <w:rPr>
          <w:rFonts w:ascii="Arial" w:hAnsi="Arial" w:cs="Arial"/>
          <w:sz w:val="24"/>
          <w:szCs w:val="24"/>
        </w:rPr>
        <w:t xml:space="preserve">Cordialmente, </w:t>
      </w:r>
    </w:p>
    <w:p w14:paraId="77CA34AE" w14:textId="1E01156C" w:rsidR="00171E49" w:rsidRPr="009018D2" w:rsidRDefault="00171E49" w:rsidP="009018D2">
      <w:pPr>
        <w:spacing w:after="0" w:line="240" w:lineRule="auto"/>
        <w:jc w:val="both"/>
        <w:rPr>
          <w:rFonts w:ascii="Arial" w:hAnsi="Arial" w:cs="Arial"/>
          <w:sz w:val="24"/>
          <w:szCs w:val="24"/>
        </w:rPr>
      </w:pPr>
    </w:p>
    <w:p w14:paraId="2A9F91CC" w14:textId="0BFCEBE1" w:rsidR="00092A5B" w:rsidRPr="009018D2" w:rsidRDefault="00092A5B" w:rsidP="009018D2">
      <w:pPr>
        <w:spacing w:after="0" w:line="240" w:lineRule="auto"/>
        <w:jc w:val="both"/>
        <w:rPr>
          <w:rFonts w:ascii="Arial" w:hAnsi="Arial" w:cs="Arial"/>
          <w:sz w:val="24"/>
          <w:szCs w:val="24"/>
        </w:rPr>
      </w:pPr>
    </w:p>
    <w:p w14:paraId="00F1DDED" w14:textId="4D6A3245" w:rsidR="00092A5B" w:rsidRPr="009018D2" w:rsidRDefault="00092A5B" w:rsidP="009018D2">
      <w:pPr>
        <w:spacing w:after="0" w:line="240" w:lineRule="auto"/>
        <w:jc w:val="both"/>
        <w:rPr>
          <w:rFonts w:ascii="Arial" w:hAnsi="Arial" w:cs="Arial"/>
          <w:sz w:val="24"/>
          <w:szCs w:val="24"/>
        </w:rPr>
      </w:pPr>
    </w:p>
    <w:p w14:paraId="7E176E9C" w14:textId="63FB45F0" w:rsidR="00F00EE9" w:rsidRPr="009018D2" w:rsidRDefault="00F00EE9" w:rsidP="009018D2">
      <w:pPr>
        <w:spacing w:after="0" w:line="240" w:lineRule="auto"/>
        <w:jc w:val="both"/>
        <w:rPr>
          <w:rFonts w:ascii="Arial" w:hAnsi="Arial" w:cs="Arial"/>
          <w:sz w:val="24"/>
          <w:szCs w:val="24"/>
        </w:rPr>
      </w:pPr>
    </w:p>
    <w:p w14:paraId="39B6FE5A" w14:textId="3C488755" w:rsidR="00F00EE9" w:rsidRPr="009018D2" w:rsidRDefault="00F00EE9" w:rsidP="009018D2">
      <w:pPr>
        <w:spacing w:after="0" w:line="240" w:lineRule="auto"/>
        <w:jc w:val="both"/>
        <w:rPr>
          <w:rFonts w:ascii="Arial" w:hAnsi="Arial" w:cs="Arial"/>
          <w:sz w:val="24"/>
          <w:szCs w:val="24"/>
        </w:rPr>
      </w:pPr>
    </w:p>
    <w:p w14:paraId="6869241E" w14:textId="77777777" w:rsidR="00F00EE9" w:rsidRPr="009018D2" w:rsidRDefault="00F00EE9" w:rsidP="009018D2">
      <w:pPr>
        <w:spacing w:after="0" w:line="240" w:lineRule="auto"/>
        <w:jc w:val="both"/>
        <w:rPr>
          <w:rFonts w:ascii="Arial" w:hAnsi="Arial" w:cs="Arial"/>
          <w:sz w:val="24"/>
          <w:szCs w:val="24"/>
        </w:rPr>
      </w:pPr>
      <w:r w:rsidRPr="009018D2">
        <w:rPr>
          <w:rFonts w:ascii="Arial" w:hAnsi="Arial" w:cs="Arial"/>
          <w:sz w:val="24"/>
          <w:szCs w:val="24"/>
        </w:rPr>
        <w:t>Leonardo Arturo Pazos Galindo</w:t>
      </w:r>
    </w:p>
    <w:p w14:paraId="249B8551" w14:textId="77777777" w:rsidR="00F00EE9" w:rsidRPr="009018D2" w:rsidRDefault="00F00EE9" w:rsidP="009018D2">
      <w:pPr>
        <w:spacing w:after="0" w:line="240" w:lineRule="auto"/>
        <w:jc w:val="both"/>
        <w:rPr>
          <w:rFonts w:ascii="Arial" w:hAnsi="Arial" w:cs="Arial"/>
          <w:sz w:val="24"/>
          <w:szCs w:val="24"/>
        </w:rPr>
      </w:pPr>
      <w:r w:rsidRPr="009018D2">
        <w:rPr>
          <w:rFonts w:ascii="Arial" w:hAnsi="Arial" w:cs="Arial"/>
          <w:sz w:val="24"/>
          <w:szCs w:val="24"/>
        </w:rPr>
        <w:t xml:space="preserve">Director Jurídico </w:t>
      </w:r>
    </w:p>
    <w:p w14:paraId="457C8A0A" w14:textId="55C88A62" w:rsidR="00F00EE9" w:rsidRPr="009018D2" w:rsidRDefault="00F00EE9" w:rsidP="009018D2">
      <w:pPr>
        <w:spacing w:after="0" w:line="240" w:lineRule="auto"/>
        <w:jc w:val="both"/>
        <w:rPr>
          <w:rFonts w:ascii="Arial" w:hAnsi="Arial" w:cs="Arial"/>
          <w:sz w:val="24"/>
          <w:szCs w:val="24"/>
        </w:rPr>
      </w:pPr>
    </w:p>
    <w:p w14:paraId="0971A8E6" w14:textId="16F3912C" w:rsidR="00F00EE9" w:rsidRDefault="00F00EE9" w:rsidP="009018D2">
      <w:pPr>
        <w:spacing w:after="0" w:line="240" w:lineRule="auto"/>
        <w:jc w:val="both"/>
        <w:rPr>
          <w:rFonts w:ascii="Arial" w:hAnsi="Arial" w:cs="Arial"/>
          <w:sz w:val="24"/>
          <w:szCs w:val="24"/>
        </w:rPr>
      </w:pPr>
    </w:p>
    <w:p w14:paraId="191502F4" w14:textId="15664165" w:rsidR="0010673F" w:rsidRDefault="0010673F" w:rsidP="009018D2">
      <w:pPr>
        <w:spacing w:after="0" w:line="240" w:lineRule="auto"/>
        <w:jc w:val="both"/>
        <w:rPr>
          <w:rFonts w:ascii="Arial" w:hAnsi="Arial" w:cs="Arial"/>
          <w:sz w:val="24"/>
          <w:szCs w:val="24"/>
        </w:rPr>
      </w:pPr>
    </w:p>
    <w:p w14:paraId="0EE78A53" w14:textId="63B24254" w:rsidR="0010673F" w:rsidRDefault="0010673F" w:rsidP="009018D2">
      <w:pPr>
        <w:spacing w:after="0" w:line="240" w:lineRule="auto"/>
        <w:jc w:val="both"/>
        <w:rPr>
          <w:rFonts w:ascii="Arial" w:hAnsi="Arial" w:cs="Arial"/>
          <w:sz w:val="24"/>
          <w:szCs w:val="24"/>
        </w:rPr>
      </w:pPr>
    </w:p>
    <w:p w14:paraId="48A788DA" w14:textId="77777777" w:rsidR="0010673F" w:rsidRPr="009018D2" w:rsidRDefault="0010673F" w:rsidP="009018D2">
      <w:pPr>
        <w:spacing w:after="0" w:line="240" w:lineRule="auto"/>
        <w:jc w:val="both"/>
        <w:rPr>
          <w:rFonts w:ascii="Arial" w:hAnsi="Arial" w:cs="Arial"/>
          <w:sz w:val="24"/>
          <w:szCs w:val="24"/>
        </w:rPr>
      </w:pPr>
    </w:p>
    <w:tbl>
      <w:tblPr>
        <w:tblStyle w:val="Tablaconcuadrcula"/>
        <w:tblW w:w="9067" w:type="dxa"/>
        <w:tblLook w:val="04A0" w:firstRow="1" w:lastRow="0" w:firstColumn="1" w:lastColumn="0" w:noHBand="0" w:noVBand="1"/>
      </w:tblPr>
      <w:tblGrid>
        <w:gridCol w:w="1555"/>
        <w:gridCol w:w="4961"/>
        <w:gridCol w:w="2551"/>
      </w:tblGrid>
      <w:tr w:rsidR="009018D2" w:rsidRPr="009018D2" w14:paraId="7855425E" w14:textId="77777777" w:rsidTr="004C6633">
        <w:tc>
          <w:tcPr>
            <w:tcW w:w="1555" w:type="dxa"/>
          </w:tcPr>
          <w:p w14:paraId="5BFB068C" w14:textId="7967EC07" w:rsidR="00F00EE9" w:rsidRPr="009018D2" w:rsidRDefault="004C6633" w:rsidP="009018D2">
            <w:pPr>
              <w:jc w:val="both"/>
              <w:rPr>
                <w:rFonts w:ascii="Arial" w:hAnsi="Arial" w:cs="Arial"/>
                <w:sz w:val="20"/>
                <w:szCs w:val="20"/>
              </w:rPr>
            </w:pPr>
            <w:r>
              <w:rPr>
                <w:rFonts w:ascii="Arial" w:hAnsi="Arial" w:cs="Arial"/>
                <w:sz w:val="20"/>
                <w:szCs w:val="20"/>
              </w:rPr>
              <w:t>R</w:t>
            </w:r>
            <w:r w:rsidR="00F00EE9" w:rsidRPr="009018D2">
              <w:rPr>
                <w:rFonts w:ascii="Arial" w:hAnsi="Arial" w:cs="Arial"/>
                <w:sz w:val="20"/>
                <w:szCs w:val="20"/>
              </w:rPr>
              <w:t>evisado por:</w:t>
            </w:r>
          </w:p>
        </w:tc>
        <w:tc>
          <w:tcPr>
            <w:tcW w:w="4961" w:type="dxa"/>
          </w:tcPr>
          <w:p w14:paraId="483714E8" w14:textId="79533967" w:rsidR="00F00EE9" w:rsidRPr="009018D2" w:rsidRDefault="004C6633" w:rsidP="009018D2">
            <w:pPr>
              <w:jc w:val="both"/>
              <w:rPr>
                <w:rFonts w:ascii="Arial" w:hAnsi="Arial" w:cs="Arial"/>
                <w:sz w:val="20"/>
                <w:szCs w:val="20"/>
              </w:rPr>
            </w:pPr>
            <w:r>
              <w:rPr>
                <w:rFonts w:ascii="Arial" w:hAnsi="Arial" w:cs="Arial"/>
                <w:sz w:val="20"/>
                <w:szCs w:val="20"/>
              </w:rPr>
              <w:t>Carol Morillo</w:t>
            </w:r>
            <w:r w:rsidR="00F00EE9" w:rsidRPr="009018D2">
              <w:rPr>
                <w:rFonts w:ascii="Arial" w:hAnsi="Arial" w:cs="Arial"/>
                <w:sz w:val="20"/>
                <w:szCs w:val="20"/>
              </w:rPr>
              <w:t xml:space="preserve">, </w:t>
            </w:r>
            <w:proofErr w:type="gramStart"/>
            <w:r w:rsidR="00F00EE9" w:rsidRPr="009018D2">
              <w:rPr>
                <w:rFonts w:ascii="Arial" w:hAnsi="Arial" w:cs="Arial"/>
                <w:sz w:val="20"/>
                <w:szCs w:val="20"/>
              </w:rPr>
              <w:t>Subdirector</w:t>
            </w:r>
            <w:r>
              <w:rPr>
                <w:rFonts w:ascii="Arial" w:hAnsi="Arial" w:cs="Arial"/>
                <w:sz w:val="20"/>
                <w:szCs w:val="20"/>
              </w:rPr>
              <w:t>a</w:t>
            </w:r>
            <w:proofErr w:type="gramEnd"/>
            <w:r w:rsidR="00F00EE9" w:rsidRPr="009018D2">
              <w:rPr>
                <w:rFonts w:ascii="Arial" w:hAnsi="Arial" w:cs="Arial"/>
                <w:sz w:val="20"/>
                <w:szCs w:val="20"/>
              </w:rPr>
              <w:t xml:space="preserve"> Jurídic</w:t>
            </w:r>
            <w:r>
              <w:rPr>
                <w:rFonts w:ascii="Arial" w:hAnsi="Arial" w:cs="Arial"/>
                <w:sz w:val="20"/>
                <w:szCs w:val="20"/>
              </w:rPr>
              <w:t>a</w:t>
            </w:r>
            <w:r w:rsidR="00F00EE9" w:rsidRPr="009018D2">
              <w:rPr>
                <w:rFonts w:ascii="Arial" w:hAnsi="Arial" w:cs="Arial"/>
                <w:sz w:val="20"/>
                <w:szCs w:val="20"/>
              </w:rPr>
              <w:t xml:space="preserve"> de Hacienda</w:t>
            </w:r>
            <w:r>
              <w:rPr>
                <w:rFonts w:ascii="Arial" w:hAnsi="Arial" w:cs="Arial"/>
                <w:sz w:val="20"/>
                <w:szCs w:val="20"/>
              </w:rPr>
              <w:t xml:space="preserve"> (E)</w:t>
            </w:r>
          </w:p>
          <w:p w14:paraId="0429DF47" w14:textId="77777777" w:rsidR="00F00EE9" w:rsidRPr="009018D2" w:rsidRDefault="00F00EE9" w:rsidP="009018D2">
            <w:pPr>
              <w:jc w:val="both"/>
              <w:rPr>
                <w:rFonts w:ascii="Arial" w:hAnsi="Arial" w:cs="Arial"/>
                <w:sz w:val="20"/>
                <w:szCs w:val="20"/>
              </w:rPr>
            </w:pPr>
          </w:p>
        </w:tc>
        <w:tc>
          <w:tcPr>
            <w:tcW w:w="2551" w:type="dxa"/>
          </w:tcPr>
          <w:p w14:paraId="556755D9" w14:textId="77777777" w:rsidR="00F00EE9" w:rsidRPr="009018D2" w:rsidRDefault="00F00EE9" w:rsidP="009018D2">
            <w:pPr>
              <w:jc w:val="both"/>
              <w:rPr>
                <w:rFonts w:ascii="Arial" w:hAnsi="Arial" w:cs="Arial"/>
                <w:sz w:val="24"/>
                <w:szCs w:val="24"/>
              </w:rPr>
            </w:pPr>
          </w:p>
        </w:tc>
      </w:tr>
    </w:tbl>
    <w:p w14:paraId="2353E0C9" w14:textId="7D5635E9" w:rsidR="00171E49" w:rsidRPr="009018D2" w:rsidRDefault="00171E49" w:rsidP="009018D2">
      <w:pPr>
        <w:spacing w:after="0" w:line="240" w:lineRule="auto"/>
        <w:jc w:val="both"/>
        <w:rPr>
          <w:rFonts w:ascii="Arial" w:hAnsi="Arial" w:cs="Arial"/>
          <w:sz w:val="24"/>
          <w:szCs w:val="24"/>
        </w:rPr>
      </w:pPr>
    </w:p>
    <w:sectPr w:rsidR="00171E49" w:rsidRPr="009018D2" w:rsidSect="000568DA">
      <w:headerReference w:type="default" r:id="rId8"/>
      <w:footerReference w:type="default" r:id="rId9"/>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C49F7" w14:textId="77777777" w:rsidR="00BB4712" w:rsidRDefault="00BB4712">
      <w:pPr>
        <w:spacing w:after="0" w:line="240" w:lineRule="auto"/>
      </w:pPr>
      <w:r>
        <w:separator/>
      </w:r>
    </w:p>
  </w:endnote>
  <w:endnote w:type="continuationSeparator" w:id="0">
    <w:p w14:paraId="0E3719CB" w14:textId="77777777" w:rsidR="00BB4712" w:rsidRDefault="00BB4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Pro Cond">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2CFA" w14:textId="781640B9" w:rsidR="00A2040A" w:rsidRDefault="00A2040A">
    <w:pPr>
      <w:pStyle w:val="Piedepgina"/>
    </w:pPr>
    <w:r>
      <w:rPr>
        <w:noProof/>
        <w:lang w:val="es-CO" w:eastAsia="es-CO"/>
      </w:rPr>
      <mc:AlternateContent>
        <mc:Choice Requires="wps">
          <w:drawing>
            <wp:anchor distT="0" distB="0" distL="114300" distR="114300" simplePos="0" relativeHeight="251662336" behindDoc="0" locked="0" layoutInCell="1" allowOverlap="1" wp14:anchorId="7BC41A8E" wp14:editId="40951478">
              <wp:simplePos x="0" y="0"/>
              <wp:positionH relativeFrom="rightMargin">
                <wp:posOffset>-1603375</wp:posOffset>
              </wp:positionH>
              <wp:positionV relativeFrom="paragraph">
                <wp:posOffset>-188595</wp:posOffset>
              </wp:positionV>
              <wp:extent cx="853440" cy="373380"/>
              <wp:effectExtent l="0" t="0" r="3810" b="7620"/>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4DB0C" w14:textId="58633511" w:rsidR="00A2040A" w:rsidRPr="00586C2F" w:rsidRDefault="00A2040A">
                          <w:pPr>
                            <w:pStyle w:val="Encabezado"/>
                            <w:jc w:val="center"/>
                            <w:rPr>
                              <w:rFonts w:ascii="Arial" w:hAnsi="Arial" w:cs="Arial"/>
                              <w:sz w:val="18"/>
                              <w:szCs w:val="18"/>
                            </w:rPr>
                          </w:pPr>
                          <w:r w:rsidRPr="0081427F">
                            <w:rPr>
                              <w:rFonts w:ascii="Arial" w:hAnsi="Arial" w:cs="Arial"/>
                              <w:sz w:val="18"/>
                              <w:szCs w:val="18"/>
                            </w:rPr>
                            <w:fldChar w:fldCharType="begin"/>
                          </w:r>
                          <w:r w:rsidRPr="0081427F">
                            <w:rPr>
                              <w:rFonts w:ascii="Arial" w:hAnsi="Arial" w:cs="Arial"/>
                              <w:sz w:val="18"/>
                              <w:szCs w:val="18"/>
                            </w:rPr>
                            <w:instrText>PAGE   \* MERGEFORMAT</w:instrText>
                          </w:r>
                          <w:r w:rsidRPr="0081427F">
                            <w:rPr>
                              <w:rFonts w:ascii="Arial" w:hAnsi="Arial" w:cs="Arial"/>
                              <w:sz w:val="18"/>
                              <w:szCs w:val="18"/>
                            </w:rPr>
                            <w:fldChar w:fldCharType="separate"/>
                          </w:r>
                          <w:r w:rsidR="00121598">
                            <w:rPr>
                              <w:rFonts w:ascii="Arial" w:hAnsi="Arial" w:cs="Arial"/>
                              <w:noProof/>
                              <w:sz w:val="18"/>
                              <w:szCs w:val="18"/>
                            </w:rPr>
                            <w:t>11</w:t>
                          </w:r>
                          <w:r w:rsidRPr="0081427F">
                            <w:rPr>
                              <w:rFonts w:ascii="Arial" w:hAnsi="Arial" w:cs="Arial"/>
                              <w:sz w:val="18"/>
                              <w:szCs w:val="18"/>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C41A8E" id="_x0000_t202" coordsize="21600,21600" o:spt="202" path="m,l,21600r21600,l21600,xe">
              <v:stroke joinstyle="miter"/>
              <v:path gradientshapeok="t" o:connecttype="rect"/>
            </v:shapetype>
            <v:shape id="Text Box 71" o:spid="_x0000_s1026" type="#_x0000_t202" style="position:absolute;margin-left:-126.25pt;margin-top:-14.85pt;width:67.2pt;height:29.4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" filled="f" stroked="f">
              <v:textbox inset="0,0,0,0">
                <w:txbxContent>
                  <w:p w14:paraId="71A4DB0C" w14:textId="58633511" w:rsidR="00A2040A" w:rsidRPr="00586C2F" w:rsidRDefault="00A2040A">
                    <w:pPr>
                      <w:pStyle w:val="Encabezado"/>
                      <w:jc w:val="center"/>
                      <w:rPr>
                        <w:rFonts w:ascii="Arial" w:hAnsi="Arial" w:cs="Arial"/>
                        <w:sz w:val="18"/>
                        <w:szCs w:val="18"/>
                      </w:rPr>
                    </w:pPr>
                    <w:r w:rsidRPr="0081427F">
                      <w:rPr>
                        <w:rFonts w:ascii="Arial" w:hAnsi="Arial" w:cs="Arial"/>
                        <w:sz w:val="18"/>
                        <w:szCs w:val="18"/>
                      </w:rPr>
                      <w:fldChar w:fldCharType="begin"/>
                    </w:r>
                    <w:r w:rsidRPr="0081427F">
                      <w:rPr>
                        <w:rFonts w:ascii="Arial" w:hAnsi="Arial" w:cs="Arial"/>
                        <w:sz w:val="18"/>
                        <w:szCs w:val="18"/>
                      </w:rPr>
                      <w:instrText>PAGE   \* MERGEFORMAT</w:instrText>
                    </w:r>
                    <w:r w:rsidRPr="0081427F">
                      <w:rPr>
                        <w:rFonts w:ascii="Arial" w:hAnsi="Arial" w:cs="Arial"/>
                        <w:sz w:val="18"/>
                        <w:szCs w:val="18"/>
                      </w:rPr>
                      <w:fldChar w:fldCharType="separate"/>
                    </w:r>
                    <w:r w:rsidR="00121598">
                      <w:rPr>
                        <w:rFonts w:ascii="Arial" w:hAnsi="Arial" w:cs="Arial"/>
                        <w:noProof/>
                        <w:sz w:val="18"/>
                        <w:szCs w:val="18"/>
                      </w:rPr>
                      <w:t>11</w:t>
                    </w:r>
                    <w:r w:rsidRPr="0081427F">
                      <w:rPr>
                        <w:rFonts w:ascii="Arial" w:hAnsi="Arial" w:cs="Arial"/>
                        <w:sz w:val="18"/>
                        <w:szCs w:val="18"/>
                      </w:rPr>
                      <w:fldChar w:fldCharType="end"/>
                    </w:r>
                  </w:p>
                </w:txbxContent>
              </v:textbox>
              <w10:wrap anchorx="margin"/>
            </v:shape>
          </w:pict>
        </mc:Fallback>
      </mc:AlternateContent>
    </w:r>
    <w:r>
      <w:rPr>
        <w:noProof/>
        <w:lang w:val="es-CO" w:eastAsia="es-CO"/>
      </w:rPr>
      <w:drawing>
        <wp:anchor distT="0" distB="0" distL="114300" distR="114300" simplePos="0" relativeHeight="251659264" behindDoc="1" locked="0" layoutInCell="1" allowOverlap="1" wp14:anchorId="1307D7E1" wp14:editId="58EF6403">
          <wp:simplePos x="0" y="0"/>
          <wp:positionH relativeFrom="page">
            <wp:align>left</wp:align>
          </wp:positionH>
          <wp:positionV relativeFrom="paragraph">
            <wp:posOffset>-628650</wp:posOffset>
          </wp:positionV>
          <wp:extent cx="7804728" cy="1389980"/>
          <wp:effectExtent l="0" t="0" r="0" b="0"/>
          <wp:wrapNone/>
          <wp:docPr id="29" name="Imagen 29"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04728" cy="13899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37257" w14:textId="77777777" w:rsidR="00BB4712" w:rsidRDefault="00BB4712">
      <w:pPr>
        <w:spacing w:after="0" w:line="240" w:lineRule="auto"/>
      </w:pPr>
      <w:r>
        <w:separator/>
      </w:r>
    </w:p>
  </w:footnote>
  <w:footnote w:type="continuationSeparator" w:id="0">
    <w:p w14:paraId="36D0E331" w14:textId="77777777" w:rsidR="00BB4712" w:rsidRDefault="00BB4712">
      <w:pPr>
        <w:spacing w:after="0" w:line="240" w:lineRule="auto"/>
      </w:pPr>
      <w:r>
        <w:continuationSeparator/>
      </w:r>
    </w:p>
  </w:footnote>
  <w:footnote w:id="1">
    <w:p w14:paraId="2F1DB8FB" w14:textId="36D8671F" w:rsidR="00B957E1" w:rsidRPr="0099077D" w:rsidRDefault="00B957E1" w:rsidP="00B85A87">
      <w:pPr>
        <w:pStyle w:val="Textonotapie"/>
        <w:jc w:val="both"/>
        <w:rPr>
          <w:rFonts w:ascii="Verdana Pro Cond" w:hAnsi="Verdana Pro Cond"/>
          <w:sz w:val="24"/>
          <w:szCs w:val="24"/>
          <w:lang w:val="es-CO"/>
        </w:rPr>
      </w:pPr>
      <w:r w:rsidRPr="0099077D">
        <w:rPr>
          <w:rStyle w:val="Refdenotaalpie"/>
          <w:rFonts w:ascii="Verdana Pro Cond" w:hAnsi="Verdana Pro Cond"/>
          <w:sz w:val="24"/>
          <w:szCs w:val="24"/>
        </w:rPr>
        <w:footnoteRef/>
      </w:r>
      <w:r w:rsidRPr="0099077D">
        <w:rPr>
          <w:rFonts w:ascii="Verdana Pro Cond" w:hAnsi="Verdana Pro Cond"/>
          <w:sz w:val="24"/>
          <w:szCs w:val="24"/>
        </w:rPr>
        <w:t xml:space="preserve"> </w:t>
      </w:r>
      <w:r w:rsidRPr="0099077D">
        <w:rPr>
          <w:rFonts w:ascii="Verdana Pro Cond" w:hAnsi="Verdana Pro Cond"/>
          <w:sz w:val="24"/>
          <w:szCs w:val="24"/>
          <w:lang w:val="es-CO"/>
        </w:rPr>
        <w:t>Est</w:t>
      </w:r>
      <w:r w:rsidR="00173CBC" w:rsidRPr="0099077D">
        <w:rPr>
          <w:rFonts w:ascii="Verdana Pro Cond" w:hAnsi="Verdana Pro Cond"/>
          <w:sz w:val="24"/>
          <w:szCs w:val="24"/>
          <w:lang w:val="es-CO"/>
        </w:rPr>
        <w:t xml:space="preserve">a norma ha sido </w:t>
      </w:r>
      <w:r w:rsidR="00B85A87">
        <w:rPr>
          <w:rFonts w:ascii="Verdana Pro Cond" w:hAnsi="Verdana Pro Cond"/>
          <w:sz w:val="24"/>
          <w:szCs w:val="24"/>
          <w:lang w:val="es-CO"/>
        </w:rPr>
        <w:t>tomada</w:t>
      </w:r>
      <w:r w:rsidR="00173CBC" w:rsidRPr="0099077D">
        <w:rPr>
          <w:rFonts w:ascii="Verdana Pro Cond" w:hAnsi="Verdana Pro Cond"/>
          <w:sz w:val="24"/>
          <w:szCs w:val="24"/>
          <w:lang w:val="es-CO"/>
        </w:rPr>
        <w:t xml:space="preserve">  </w:t>
      </w:r>
      <w:r w:rsidR="004861AF" w:rsidRPr="0099077D">
        <w:rPr>
          <w:rFonts w:ascii="Verdana Pro Cond" w:hAnsi="Verdana Pro Cond"/>
          <w:sz w:val="24"/>
          <w:szCs w:val="24"/>
          <w:lang w:val="es-CO"/>
        </w:rPr>
        <w:t>de</w:t>
      </w:r>
      <w:r w:rsidR="0099077D">
        <w:rPr>
          <w:rFonts w:ascii="Verdana Pro Cond" w:hAnsi="Verdana Pro Cond"/>
          <w:sz w:val="24"/>
          <w:szCs w:val="24"/>
          <w:lang w:val="es-CO"/>
        </w:rPr>
        <w:t xml:space="preserve">l texto </w:t>
      </w:r>
      <w:r w:rsidR="00DE223D">
        <w:rPr>
          <w:rFonts w:ascii="Verdana Pro Cond" w:hAnsi="Verdana Pro Cond"/>
          <w:sz w:val="24"/>
          <w:szCs w:val="24"/>
          <w:lang w:val="es-CO"/>
        </w:rPr>
        <w:t xml:space="preserve">de la </w:t>
      </w:r>
      <w:r w:rsidR="004861AF" w:rsidRPr="0099077D">
        <w:rPr>
          <w:rFonts w:ascii="Verdana Pro Cond" w:hAnsi="Verdana Pro Cond"/>
          <w:sz w:val="24"/>
          <w:szCs w:val="24"/>
          <w:lang w:val="es-CO"/>
        </w:rPr>
        <w:t xml:space="preserve"> </w:t>
      </w:r>
      <w:r w:rsidR="006721FA" w:rsidRPr="0099077D">
        <w:rPr>
          <w:rFonts w:ascii="Verdana Pro Cond" w:hAnsi="Verdana Pro Cond"/>
          <w:sz w:val="24"/>
          <w:szCs w:val="24"/>
          <w:lang w:val="es-CO"/>
        </w:rPr>
        <w:t xml:space="preserve">Contaduría General de la Nación, </w:t>
      </w:r>
      <w:r w:rsidR="004861AF" w:rsidRPr="0099077D">
        <w:rPr>
          <w:rFonts w:ascii="Verdana Pro Cond" w:hAnsi="Verdana Pro Cond"/>
          <w:sz w:val="24"/>
          <w:szCs w:val="24"/>
          <w:lang w:val="es-CO"/>
        </w:rPr>
        <w:t xml:space="preserve">Doctrina Contable Publica </w:t>
      </w:r>
      <w:r w:rsidR="0020429B" w:rsidRPr="0099077D">
        <w:rPr>
          <w:rFonts w:ascii="Verdana Pro Cond" w:hAnsi="Verdana Pro Cond"/>
          <w:sz w:val="24"/>
          <w:szCs w:val="24"/>
          <w:lang w:val="es-CO"/>
        </w:rPr>
        <w:t xml:space="preserve">compilada parcialmente, </w:t>
      </w:r>
      <w:r w:rsidR="00173CBC" w:rsidRPr="0099077D">
        <w:rPr>
          <w:rFonts w:ascii="Verdana Pro Cond" w:hAnsi="Verdana Pro Cond"/>
          <w:sz w:val="24"/>
          <w:szCs w:val="24"/>
          <w:lang w:val="es-CO"/>
        </w:rPr>
        <w:t xml:space="preserve"> </w:t>
      </w:r>
      <w:r w:rsidR="0099077D" w:rsidRPr="0099077D">
        <w:rPr>
          <w:rFonts w:ascii="Verdana Pro Cond" w:hAnsi="Verdana Pro Cond"/>
          <w:sz w:val="24"/>
          <w:szCs w:val="24"/>
          <w:lang w:val="es-CO"/>
        </w:rPr>
        <w:t>página</w:t>
      </w:r>
      <w:r w:rsidR="00173CBC" w:rsidRPr="0099077D">
        <w:rPr>
          <w:rFonts w:ascii="Verdana Pro Cond" w:hAnsi="Verdana Pro Cond"/>
          <w:sz w:val="24"/>
          <w:szCs w:val="24"/>
          <w:lang w:val="es-CO"/>
        </w:rPr>
        <w:t xml:space="preserve"> 1050</w:t>
      </w:r>
      <w:r w:rsidR="00375A18">
        <w:rPr>
          <w:rFonts w:ascii="Verdana Pro Cond" w:hAnsi="Verdana Pro Cond"/>
          <w:sz w:val="24"/>
          <w:szCs w:val="24"/>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D5FD" w14:textId="73073F59" w:rsidR="00A2040A" w:rsidRDefault="00A2040A">
    <w:pPr>
      <w:pStyle w:val="Encabezado"/>
    </w:pPr>
    <w:r>
      <w:rPr>
        <w:noProof/>
        <w:lang w:val="es-CO" w:eastAsia="es-CO"/>
      </w:rPr>
      <w:drawing>
        <wp:anchor distT="0" distB="0" distL="114300" distR="114300" simplePos="0" relativeHeight="251658240" behindDoc="1" locked="0" layoutInCell="1" allowOverlap="1" wp14:anchorId="3FA830EB" wp14:editId="497F87BF">
          <wp:simplePos x="0" y="0"/>
          <wp:positionH relativeFrom="column">
            <wp:posOffset>-1285875</wp:posOffset>
          </wp:positionH>
          <wp:positionV relativeFrom="paragraph">
            <wp:posOffset>-514985</wp:posOffset>
          </wp:positionV>
          <wp:extent cx="7729470" cy="1211283"/>
          <wp:effectExtent l="0" t="0" r="0" b="0"/>
          <wp:wrapNone/>
          <wp:docPr id="28" name="Imagen 28"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3x.png"/>
                  <pic:cNvPicPr/>
                </pic:nvPicPr>
                <pic:blipFill>
                  <a:blip r:embed="rId1">
                    <a:extLst>
                      <a:ext uri="{28A0092B-C50C-407E-A947-70E740481C1C}">
                        <a14:useLocalDpi xmlns:a14="http://schemas.microsoft.com/office/drawing/2010/main" val="0"/>
                      </a:ext>
                    </a:extLst>
                  </a:blip>
                  <a:stretch>
                    <a:fillRect/>
                  </a:stretch>
                </pic:blipFill>
                <pic:spPr>
                  <a:xfrm>
                    <a:off x="0" y="0"/>
                    <a:ext cx="7729470" cy="12112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23B"/>
    <w:multiLevelType w:val="hybridMultilevel"/>
    <w:tmpl w:val="48741F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3F79D7"/>
    <w:multiLevelType w:val="hybridMultilevel"/>
    <w:tmpl w:val="150A65DA"/>
    <w:lvl w:ilvl="0" w:tplc="D5861A6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D16ACE"/>
    <w:multiLevelType w:val="hybridMultilevel"/>
    <w:tmpl w:val="439E8E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03513B"/>
    <w:multiLevelType w:val="hybridMultilevel"/>
    <w:tmpl w:val="457C379E"/>
    <w:lvl w:ilvl="0" w:tplc="F08024C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EE22DC0"/>
    <w:multiLevelType w:val="multilevel"/>
    <w:tmpl w:val="C7FA5C1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5" w15:restartNumberingAfterBreak="0">
    <w:nsid w:val="27163701"/>
    <w:multiLevelType w:val="hybridMultilevel"/>
    <w:tmpl w:val="2ED862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6735E67"/>
    <w:multiLevelType w:val="hybridMultilevel"/>
    <w:tmpl w:val="240AD4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0540EE7"/>
    <w:multiLevelType w:val="hybridMultilevel"/>
    <w:tmpl w:val="0542FFBC"/>
    <w:lvl w:ilvl="0" w:tplc="0C0A0001">
      <w:start w:val="1"/>
      <w:numFmt w:val="bullet"/>
      <w:lvlText w:val=""/>
      <w:lvlJc w:val="left"/>
      <w:pPr>
        <w:ind w:left="774" w:hanging="360"/>
      </w:pPr>
      <w:rPr>
        <w:rFonts w:ascii="Symbol" w:hAnsi="Symbol" w:hint="default"/>
      </w:rPr>
    </w:lvl>
    <w:lvl w:ilvl="1" w:tplc="0C0A0003" w:tentative="1">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cs="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cs="Courier New" w:hint="default"/>
      </w:rPr>
    </w:lvl>
    <w:lvl w:ilvl="8" w:tplc="0C0A0005" w:tentative="1">
      <w:start w:val="1"/>
      <w:numFmt w:val="bullet"/>
      <w:lvlText w:val=""/>
      <w:lvlJc w:val="left"/>
      <w:pPr>
        <w:ind w:left="6534"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2B0"/>
    <w:rsid w:val="000006A5"/>
    <w:rsid w:val="00001227"/>
    <w:rsid w:val="000027D2"/>
    <w:rsid w:val="00002B54"/>
    <w:rsid w:val="000035AA"/>
    <w:rsid w:val="00005BD6"/>
    <w:rsid w:val="000061A8"/>
    <w:rsid w:val="00007B07"/>
    <w:rsid w:val="00011273"/>
    <w:rsid w:val="00012FB8"/>
    <w:rsid w:val="000134D4"/>
    <w:rsid w:val="00013800"/>
    <w:rsid w:val="00014D1A"/>
    <w:rsid w:val="00015093"/>
    <w:rsid w:val="000208EB"/>
    <w:rsid w:val="00023200"/>
    <w:rsid w:val="00026235"/>
    <w:rsid w:val="00040C4F"/>
    <w:rsid w:val="00043E26"/>
    <w:rsid w:val="00053D84"/>
    <w:rsid w:val="00056178"/>
    <w:rsid w:val="000568DA"/>
    <w:rsid w:val="00057810"/>
    <w:rsid w:val="0006030A"/>
    <w:rsid w:val="00061F2E"/>
    <w:rsid w:val="00062C56"/>
    <w:rsid w:val="00064388"/>
    <w:rsid w:val="000651F1"/>
    <w:rsid w:val="0006768F"/>
    <w:rsid w:val="00067F93"/>
    <w:rsid w:val="000720DF"/>
    <w:rsid w:val="00072FDD"/>
    <w:rsid w:val="00076E3A"/>
    <w:rsid w:val="0007745B"/>
    <w:rsid w:val="000776A3"/>
    <w:rsid w:val="00077F92"/>
    <w:rsid w:val="000801D9"/>
    <w:rsid w:val="000855B8"/>
    <w:rsid w:val="00086BE0"/>
    <w:rsid w:val="00087358"/>
    <w:rsid w:val="000908F8"/>
    <w:rsid w:val="00091125"/>
    <w:rsid w:val="00092829"/>
    <w:rsid w:val="00092A5B"/>
    <w:rsid w:val="00094602"/>
    <w:rsid w:val="00094DD5"/>
    <w:rsid w:val="000976A7"/>
    <w:rsid w:val="000A39FD"/>
    <w:rsid w:val="000A3EF7"/>
    <w:rsid w:val="000A6CF0"/>
    <w:rsid w:val="000B220A"/>
    <w:rsid w:val="000B7476"/>
    <w:rsid w:val="000C0C53"/>
    <w:rsid w:val="000C1AA2"/>
    <w:rsid w:val="000C2C19"/>
    <w:rsid w:val="000C3371"/>
    <w:rsid w:val="000C3797"/>
    <w:rsid w:val="000D1E4F"/>
    <w:rsid w:val="000D1FE2"/>
    <w:rsid w:val="000D502F"/>
    <w:rsid w:val="000D5D24"/>
    <w:rsid w:val="000D6271"/>
    <w:rsid w:val="000F22A2"/>
    <w:rsid w:val="000F364C"/>
    <w:rsid w:val="0010253F"/>
    <w:rsid w:val="0010673F"/>
    <w:rsid w:val="0011060D"/>
    <w:rsid w:val="0011408B"/>
    <w:rsid w:val="00115649"/>
    <w:rsid w:val="001158C6"/>
    <w:rsid w:val="00115ACC"/>
    <w:rsid w:val="00116D5C"/>
    <w:rsid w:val="00116D6F"/>
    <w:rsid w:val="00117880"/>
    <w:rsid w:val="00121598"/>
    <w:rsid w:val="00123873"/>
    <w:rsid w:val="00131116"/>
    <w:rsid w:val="00137835"/>
    <w:rsid w:val="001378C6"/>
    <w:rsid w:val="00144C9F"/>
    <w:rsid w:val="00145350"/>
    <w:rsid w:val="00150A62"/>
    <w:rsid w:val="00151FC5"/>
    <w:rsid w:val="001540F1"/>
    <w:rsid w:val="001638E2"/>
    <w:rsid w:val="00165353"/>
    <w:rsid w:val="00166B40"/>
    <w:rsid w:val="00166C52"/>
    <w:rsid w:val="0016763D"/>
    <w:rsid w:val="001700F4"/>
    <w:rsid w:val="00170283"/>
    <w:rsid w:val="00171E49"/>
    <w:rsid w:val="00173CBC"/>
    <w:rsid w:val="00174309"/>
    <w:rsid w:val="001743C0"/>
    <w:rsid w:val="00174E2C"/>
    <w:rsid w:val="001754A5"/>
    <w:rsid w:val="00180598"/>
    <w:rsid w:val="00180C9D"/>
    <w:rsid w:val="001822FD"/>
    <w:rsid w:val="00187000"/>
    <w:rsid w:val="00190BD7"/>
    <w:rsid w:val="001924B5"/>
    <w:rsid w:val="00192D1A"/>
    <w:rsid w:val="001938BA"/>
    <w:rsid w:val="001A0382"/>
    <w:rsid w:val="001A127E"/>
    <w:rsid w:val="001A58C6"/>
    <w:rsid w:val="001A5DA1"/>
    <w:rsid w:val="001A7969"/>
    <w:rsid w:val="001B4446"/>
    <w:rsid w:val="001B531F"/>
    <w:rsid w:val="001B54B1"/>
    <w:rsid w:val="001B63E6"/>
    <w:rsid w:val="001B7BD9"/>
    <w:rsid w:val="001C20A5"/>
    <w:rsid w:val="001C3CE5"/>
    <w:rsid w:val="001C5748"/>
    <w:rsid w:val="001C7447"/>
    <w:rsid w:val="001D30FA"/>
    <w:rsid w:val="001D7C75"/>
    <w:rsid w:val="001E0442"/>
    <w:rsid w:val="001E0AFB"/>
    <w:rsid w:val="001E76A0"/>
    <w:rsid w:val="001F1A9F"/>
    <w:rsid w:val="001F1E9B"/>
    <w:rsid w:val="001F4CBB"/>
    <w:rsid w:val="001F5608"/>
    <w:rsid w:val="001F658D"/>
    <w:rsid w:val="001F7184"/>
    <w:rsid w:val="0020429B"/>
    <w:rsid w:val="00204C9E"/>
    <w:rsid w:val="00205B1B"/>
    <w:rsid w:val="00205D12"/>
    <w:rsid w:val="0020671A"/>
    <w:rsid w:val="00206E12"/>
    <w:rsid w:val="00222718"/>
    <w:rsid w:val="002228A1"/>
    <w:rsid w:val="0022348D"/>
    <w:rsid w:val="00224152"/>
    <w:rsid w:val="00224D18"/>
    <w:rsid w:val="00232B5B"/>
    <w:rsid w:val="00233EE7"/>
    <w:rsid w:val="00236B6F"/>
    <w:rsid w:val="002370B2"/>
    <w:rsid w:val="0024173F"/>
    <w:rsid w:val="00242731"/>
    <w:rsid w:val="00242FFD"/>
    <w:rsid w:val="00243252"/>
    <w:rsid w:val="002445D9"/>
    <w:rsid w:val="00245151"/>
    <w:rsid w:val="0024591C"/>
    <w:rsid w:val="00245B7D"/>
    <w:rsid w:val="002464C2"/>
    <w:rsid w:val="002465D8"/>
    <w:rsid w:val="00247774"/>
    <w:rsid w:val="00251245"/>
    <w:rsid w:val="00251433"/>
    <w:rsid w:val="00253CF6"/>
    <w:rsid w:val="00254D11"/>
    <w:rsid w:val="00255389"/>
    <w:rsid w:val="00255A36"/>
    <w:rsid w:val="002579BF"/>
    <w:rsid w:val="0026140F"/>
    <w:rsid w:val="00261D90"/>
    <w:rsid w:val="00264E7F"/>
    <w:rsid w:val="00265871"/>
    <w:rsid w:val="00270E50"/>
    <w:rsid w:val="00272E11"/>
    <w:rsid w:val="00274867"/>
    <w:rsid w:val="002757C0"/>
    <w:rsid w:val="0028103B"/>
    <w:rsid w:val="00281DC0"/>
    <w:rsid w:val="00283C1A"/>
    <w:rsid w:val="0028411B"/>
    <w:rsid w:val="00286B4D"/>
    <w:rsid w:val="00295C80"/>
    <w:rsid w:val="002A031F"/>
    <w:rsid w:val="002A0C2D"/>
    <w:rsid w:val="002A31D8"/>
    <w:rsid w:val="002A53B3"/>
    <w:rsid w:val="002B0A3D"/>
    <w:rsid w:val="002B0B88"/>
    <w:rsid w:val="002B3778"/>
    <w:rsid w:val="002B3E8F"/>
    <w:rsid w:val="002B7EDE"/>
    <w:rsid w:val="002C0694"/>
    <w:rsid w:val="002C417E"/>
    <w:rsid w:val="002C45C1"/>
    <w:rsid w:val="002C6A22"/>
    <w:rsid w:val="002C6CF2"/>
    <w:rsid w:val="002D4885"/>
    <w:rsid w:val="002D6C83"/>
    <w:rsid w:val="002E4C3D"/>
    <w:rsid w:val="002E517C"/>
    <w:rsid w:val="002E60B6"/>
    <w:rsid w:val="002E6F26"/>
    <w:rsid w:val="002F2157"/>
    <w:rsid w:val="002F4123"/>
    <w:rsid w:val="0030166C"/>
    <w:rsid w:val="003020FE"/>
    <w:rsid w:val="00304B7B"/>
    <w:rsid w:val="00304D77"/>
    <w:rsid w:val="00305F12"/>
    <w:rsid w:val="0030775A"/>
    <w:rsid w:val="0031503B"/>
    <w:rsid w:val="00315C62"/>
    <w:rsid w:val="0032015E"/>
    <w:rsid w:val="00320E36"/>
    <w:rsid w:val="00321737"/>
    <w:rsid w:val="00323131"/>
    <w:rsid w:val="00323852"/>
    <w:rsid w:val="00324E70"/>
    <w:rsid w:val="0032571B"/>
    <w:rsid w:val="0032649C"/>
    <w:rsid w:val="0032651B"/>
    <w:rsid w:val="003310DD"/>
    <w:rsid w:val="003328FB"/>
    <w:rsid w:val="003336CE"/>
    <w:rsid w:val="003337C9"/>
    <w:rsid w:val="003377C3"/>
    <w:rsid w:val="003420DD"/>
    <w:rsid w:val="00345726"/>
    <w:rsid w:val="00345D1F"/>
    <w:rsid w:val="00346842"/>
    <w:rsid w:val="0035230E"/>
    <w:rsid w:val="00352A76"/>
    <w:rsid w:val="00353EB8"/>
    <w:rsid w:val="00355CBB"/>
    <w:rsid w:val="00355ED4"/>
    <w:rsid w:val="003562A2"/>
    <w:rsid w:val="003603C9"/>
    <w:rsid w:val="003626E9"/>
    <w:rsid w:val="003641B0"/>
    <w:rsid w:val="0036622F"/>
    <w:rsid w:val="003713BD"/>
    <w:rsid w:val="00374C9E"/>
    <w:rsid w:val="00375A18"/>
    <w:rsid w:val="00376339"/>
    <w:rsid w:val="003843A3"/>
    <w:rsid w:val="0038705D"/>
    <w:rsid w:val="00387829"/>
    <w:rsid w:val="00387CD6"/>
    <w:rsid w:val="00392A6A"/>
    <w:rsid w:val="003A0D8C"/>
    <w:rsid w:val="003A16AF"/>
    <w:rsid w:val="003A1B8C"/>
    <w:rsid w:val="003A30B7"/>
    <w:rsid w:val="003A3D2C"/>
    <w:rsid w:val="003A7330"/>
    <w:rsid w:val="003B5216"/>
    <w:rsid w:val="003B5880"/>
    <w:rsid w:val="003C00D2"/>
    <w:rsid w:val="003C1D55"/>
    <w:rsid w:val="003C394C"/>
    <w:rsid w:val="003C720C"/>
    <w:rsid w:val="003D2E2A"/>
    <w:rsid w:val="003D34B1"/>
    <w:rsid w:val="003D3D64"/>
    <w:rsid w:val="003D408D"/>
    <w:rsid w:val="003D446E"/>
    <w:rsid w:val="003D621A"/>
    <w:rsid w:val="003D6999"/>
    <w:rsid w:val="003E0E5E"/>
    <w:rsid w:val="003E2B08"/>
    <w:rsid w:val="003E4E66"/>
    <w:rsid w:val="003E54B9"/>
    <w:rsid w:val="003F0270"/>
    <w:rsid w:val="003F1E11"/>
    <w:rsid w:val="003F2A85"/>
    <w:rsid w:val="003F326C"/>
    <w:rsid w:val="003F4A04"/>
    <w:rsid w:val="003F5B92"/>
    <w:rsid w:val="00401761"/>
    <w:rsid w:val="00404541"/>
    <w:rsid w:val="0040520E"/>
    <w:rsid w:val="0040611F"/>
    <w:rsid w:val="00406D2A"/>
    <w:rsid w:val="004106AB"/>
    <w:rsid w:val="00412794"/>
    <w:rsid w:val="0041294F"/>
    <w:rsid w:val="00413575"/>
    <w:rsid w:val="00413FC9"/>
    <w:rsid w:val="00415383"/>
    <w:rsid w:val="004205C7"/>
    <w:rsid w:val="00422C6C"/>
    <w:rsid w:val="0042366E"/>
    <w:rsid w:val="004247C9"/>
    <w:rsid w:val="004259DC"/>
    <w:rsid w:val="0042663F"/>
    <w:rsid w:val="00431D09"/>
    <w:rsid w:val="00431DFA"/>
    <w:rsid w:val="00437DF2"/>
    <w:rsid w:val="0044016F"/>
    <w:rsid w:val="004439DB"/>
    <w:rsid w:val="004500AE"/>
    <w:rsid w:val="004510F3"/>
    <w:rsid w:val="004520FC"/>
    <w:rsid w:val="00452CC6"/>
    <w:rsid w:val="0045605E"/>
    <w:rsid w:val="0045675C"/>
    <w:rsid w:val="004575ED"/>
    <w:rsid w:val="00464ACE"/>
    <w:rsid w:val="00470996"/>
    <w:rsid w:val="004722B8"/>
    <w:rsid w:val="004736AC"/>
    <w:rsid w:val="00476137"/>
    <w:rsid w:val="004817C6"/>
    <w:rsid w:val="00485D03"/>
    <w:rsid w:val="004861AF"/>
    <w:rsid w:val="00486A6A"/>
    <w:rsid w:val="00487C71"/>
    <w:rsid w:val="0049045E"/>
    <w:rsid w:val="0049377B"/>
    <w:rsid w:val="0049551A"/>
    <w:rsid w:val="0049624F"/>
    <w:rsid w:val="004A1F4A"/>
    <w:rsid w:val="004A3789"/>
    <w:rsid w:val="004A60F1"/>
    <w:rsid w:val="004B01BD"/>
    <w:rsid w:val="004B04C9"/>
    <w:rsid w:val="004B17A5"/>
    <w:rsid w:val="004B1958"/>
    <w:rsid w:val="004B27E3"/>
    <w:rsid w:val="004B3310"/>
    <w:rsid w:val="004B523A"/>
    <w:rsid w:val="004B5D6C"/>
    <w:rsid w:val="004C59E0"/>
    <w:rsid w:val="004C6633"/>
    <w:rsid w:val="004D1191"/>
    <w:rsid w:val="004D168E"/>
    <w:rsid w:val="004D1A8F"/>
    <w:rsid w:val="004D4562"/>
    <w:rsid w:val="004D5712"/>
    <w:rsid w:val="004E22F4"/>
    <w:rsid w:val="004E454B"/>
    <w:rsid w:val="004E691B"/>
    <w:rsid w:val="004F3734"/>
    <w:rsid w:val="004F3A0D"/>
    <w:rsid w:val="004F441A"/>
    <w:rsid w:val="004F4EE9"/>
    <w:rsid w:val="004F52B1"/>
    <w:rsid w:val="004F5C7C"/>
    <w:rsid w:val="0050396D"/>
    <w:rsid w:val="005041B7"/>
    <w:rsid w:val="00504720"/>
    <w:rsid w:val="005060FF"/>
    <w:rsid w:val="00506469"/>
    <w:rsid w:val="00510184"/>
    <w:rsid w:val="00510E56"/>
    <w:rsid w:val="00511AE6"/>
    <w:rsid w:val="00513B48"/>
    <w:rsid w:val="00522279"/>
    <w:rsid w:val="005226F4"/>
    <w:rsid w:val="00524A4B"/>
    <w:rsid w:val="00524B3B"/>
    <w:rsid w:val="00525280"/>
    <w:rsid w:val="0052593F"/>
    <w:rsid w:val="00526827"/>
    <w:rsid w:val="00532C82"/>
    <w:rsid w:val="00533307"/>
    <w:rsid w:val="0053407D"/>
    <w:rsid w:val="00534FDC"/>
    <w:rsid w:val="00540B95"/>
    <w:rsid w:val="00541271"/>
    <w:rsid w:val="005457AC"/>
    <w:rsid w:val="005523C9"/>
    <w:rsid w:val="00553B12"/>
    <w:rsid w:val="00553C03"/>
    <w:rsid w:val="00556079"/>
    <w:rsid w:val="00560045"/>
    <w:rsid w:val="00566198"/>
    <w:rsid w:val="00567806"/>
    <w:rsid w:val="00567F27"/>
    <w:rsid w:val="005732F2"/>
    <w:rsid w:val="0057384F"/>
    <w:rsid w:val="00577083"/>
    <w:rsid w:val="00577A45"/>
    <w:rsid w:val="005800CD"/>
    <w:rsid w:val="00582525"/>
    <w:rsid w:val="00585637"/>
    <w:rsid w:val="00586276"/>
    <w:rsid w:val="00586C2F"/>
    <w:rsid w:val="00590D64"/>
    <w:rsid w:val="00591613"/>
    <w:rsid w:val="005923EB"/>
    <w:rsid w:val="005927D2"/>
    <w:rsid w:val="005929CC"/>
    <w:rsid w:val="00593070"/>
    <w:rsid w:val="00594FE2"/>
    <w:rsid w:val="005979B4"/>
    <w:rsid w:val="005A01D3"/>
    <w:rsid w:val="005A2A9D"/>
    <w:rsid w:val="005A7235"/>
    <w:rsid w:val="005A7D4D"/>
    <w:rsid w:val="005C1215"/>
    <w:rsid w:val="005C2EB9"/>
    <w:rsid w:val="005C3ECE"/>
    <w:rsid w:val="005C558F"/>
    <w:rsid w:val="005D28FB"/>
    <w:rsid w:val="005D42FD"/>
    <w:rsid w:val="005D5EE8"/>
    <w:rsid w:val="005E269E"/>
    <w:rsid w:val="005E5513"/>
    <w:rsid w:val="005E7B5A"/>
    <w:rsid w:val="005F0517"/>
    <w:rsid w:val="005F060C"/>
    <w:rsid w:val="005F1262"/>
    <w:rsid w:val="005F1D44"/>
    <w:rsid w:val="005F2206"/>
    <w:rsid w:val="005F249F"/>
    <w:rsid w:val="005F2D14"/>
    <w:rsid w:val="005F3097"/>
    <w:rsid w:val="005F375E"/>
    <w:rsid w:val="005F73A8"/>
    <w:rsid w:val="005F77C8"/>
    <w:rsid w:val="00603829"/>
    <w:rsid w:val="00603974"/>
    <w:rsid w:val="00606F8A"/>
    <w:rsid w:val="00607088"/>
    <w:rsid w:val="0060708B"/>
    <w:rsid w:val="006117FF"/>
    <w:rsid w:val="00624C2F"/>
    <w:rsid w:val="00624FA8"/>
    <w:rsid w:val="006261CA"/>
    <w:rsid w:val="006262D0"/>
    <w:rsid w:val="006315F1"/>
    <w:rsid w:val="00637B76"/>
    <w:rsid w:val="0064112D"/>
    <w:rsid w:val="00641B07"/>
    <w:rsid w:val="006434A7"/>
    <w:rsid w:val="006468F4"/>
    <w:rsid w:val="00650CE5"/>
    <w:rsid w:val="00651602"/>
    <w:rsid w:val="00653E1B"/>
    <w:rsid w:val="00656606"/>
    <w:rsid w:val="00660940"/>
    <w:rsid w:val="0066257B"/>
    <w:rsid w:val="006703FD"/>
    <w:rsid w:val="00671FE7"/>
    <w:rsid w:val="006721FA"/>
    <w:rsid w:val="006728D9"/>
    <w:rsid w:val="006764B0"/>
    <w:rsid w:val="006764DD"/>
    <w:rsid w:val="00681194"/>
    <w:rsid w:val="0068234B"/>
    <w:rsid w:val="00682985"/>
    <w:rsid w:val="00686696"/>
    <w:rsid w:val="00686A02"/>
    <w:rsid w:val="0069037F"/>
    <w:rsid w:val="00691774"/>
    <w:rsid w:val="0069498A"/>
    <w:rsid w:val="00697136"/>
    <w:rsid w:val="006A11AD"/>
    <w:rsid w:val="006A2958"/>
    <w:rsid w:val="006A2BB2"/>
    <w:rsid w:val="006A3541"/>
    <w:rsid w:val="006A3A8A"/>
    <w:rsid w:val="006A630F"/>
    <w:rsid w:val="006A6F54"/>
    <w:rsid w:val="006B0E74"/>
    <w:rsid w:val="006B34F3"/>
    <w:rsid w:val="006B4C9A"/>
    <w:rsid w:val="006B722F"/>
    <w:rsid w:val="006C276C"/>
    <w:rsid w:val="006C3AE8"/>
    <w:rsid w:val="006C4C99"/>
    <w:rsid w:val="006C726E"/>
    <w:rsid w:val="006C7586"/>
    <w:rsid w:val="006D2FB8"/>
    <w:rsid w:val="006D7965"/>
    <w:rsid w:val="006E2BE2"/>
    <w:rsid w:val="006E447E"/>
    <w:rsid w:val="006E5E3A"/>
    <w:rsid w:val="006F0946"/>
    <w:rsid w:val="006F17BF"/>
    <w:rsid w:val="006F2D9F"/>
    <w:rsid w:val="00701632"/>
    <w:rsid w:val="0070235E"/>
    <w:rsid w:val="00703CB7"/>
    <w:rsid w:val="007052AF"/>
    <w:rsid w:val="007076EC"/>
    <w:rsid w:val="00710EC2"/>
    <w:rsid w:val="0071312C"/>
    <w:rsid w:val="007163CD"/>
    <w:rsid w:val="007177BF"/>
    <w:rsid w:val="00717C51"/>
    <w:rsid w:val="00726C70"/>
    <w:rsid w:val="007307AD"/>
    <w:rsid w:val="007309FD"/>
    <w:rsid w:val="00736ADB"/>
    <w:rsid w:val="00736B9C"/>
    <w:rsid w:val="00736FDA"/>
    <w:rsid w:val="007375FA"/>
    <w:rsid w:val="007400F3"/>
    <w:rsid w:val="0074437A"/>
    <w:rsid w:val="00744E04"/>
    <w:rsid w:val="0074684C"/>
    <w:rsid w:val="0074718A"/>
    <w:rsid w:val="007502E9"/>
    <w:rsid w:val="00750824"/>
    <w:rsid w:val="00751312"/>
    <w:rsid w:val="00752813"/>
    <w:rsid w:val="0075374B"/>
    <w:rsid w:val="007544B4"/>
    <w:rsid w:val="007626B6"/>
    <w:rsid w:val="00762816"/>
    <w:rsid w:val="00764522"/>
    <w:rsid w:val="00766D21"/>
    <w:rsid w:val="0077017E"/>
    <w:rsid w:val="00771765"/>
    <w:rsid w:val="007719D9"/>
    <w:rsid w:val="00771FE0"/>
    <w:rsid w:val="0077384C"/>
    <w:rsid w:val="00777F8D"/>
    <w:rsid w:val="007840FF"/>
    <w:rsid w:val="00790C54"/>
    <w:rsid w:val="00792124"/>
    <w:rsid w:val="00794967"/>
    <w:rsid w:val="00796DDE"/>
    <w:rsid w:val="007A4344"/>
    <w:rsid w:val="007A4EED"/>
    <w:rsid w:val="007B0241"/>
    <w:rsid w:val="007B3788"/>
    <w:rsid w:val="007B41FE"/>
    <w:rsid w:val="007B45F5"/>
    <w:rsid w:val="007B62D5"/>
    <w:rsid w:val="007C5B2E"/>
    <w:rsid w:val="007C6181"/>
    <w:rsid w:val="007C739F"/>
    <w:rsid w:val="007D3318"/>
    <w:rsid w:val="007D3C9E"/>
    <w:rsid w:val="007D5FB2"/>
    <w:rsid w:val="007D678B"/>
    <w:rsid w:val="007E05E9"/>
    <w:rsid w:val="007E0877"/>
    <w:rsid w:val="007E3F11"/>
    <w:rsid w:val="007F2C3C"/>
    <w:rsid w:val="007F4DBD"/>
    <w:rsid w:val="007F5788"/>
    <w:rsid w:val="007F5BAF"/>
    <w:rsid w:val="007F7037"/>
    <w:rsid w:val="0080057B"/>
    <w:rsid w:val="00801692"/>
    <w:rsid w:val="0080312B"/>
    <w:rsid w:val="00803F5A"/>
    <w:rsid w:val="00806631"/>
    <w:rsid w:val="00806F68"/>
    <w:rsid w:val="0080777A"/>
    <w:rsid w:val="008077D5"/>
    <w:rsid w:val="0081373C"/>
    <w:rsid w:val="0081427F"/>
    <w:rsid w:val="00815CCA"/>
    <w:rsid w:val="00817E45"/>
    <w:rsid w:val="00830697"/>
    <w:rsid w:val="00835E0D"/>
    <w:rsid w:val="00837597"/>
    <w:rsid w:val="00840972"/>
    <w:rsid w:val="0084220B"/>
    <w:rsid w:val="00843808"/>
    <w:rsid w:val="00843947"/>
    <w:rsid w:val="0084563D"/>
    <w:rsid w:val="008466A3"/>
    <w:rsid w:val="00852CF3"/>
    <w:rsid w:val="008531BD"/>
    <w:rsid w:val="008536B8"/>
    <w:rsid w:val="008568AA"/>
    <w:rsid w:val="00860B02"/>
    <w:rsid w:val="008625BC"/>
    <w:rsid w:val="00863FF2"/>
    <w:rsid w:val="00867764"/>
    <w:rsid w:val="00867E81"/>
    <w:rsid w:val="00867F03"/>
    <w:rsid w:val="008701E6"/>
    <w:rsid w:val="00876FCB"/>
    <w:rsid w:val="008771D8"/>
    <w:rsid w:val="008800AB"/>
    <w:rsid w:val="00890A47"/>
    <w:rsid w:val="00890D78"/>
    <w:rsid w:val="008937AF"/>
    <w:rsid w:val="008953FE"/>
    <w:rsid w:val="008A0C96"/>
    <w:rsid w:val="008A11FB"/>
    <w:rsid w:val="008A2642"/>
    <w:rsid w:val="008A3714"/>
    <w:rsid w:val="008A3F85"/>
    <w:rsid w:val="008A3FFD"/>
    <w:rsid w:val="008A592D"/>
    <w:rsid w:val="008A740C"/>
    <w:rsid w:val="008B0FD3"/>
    <w:rsid w:val="008B2429"/>
    <w:rsid w:val="008B529F"/>
    <w:rsid w:val="008B66DC"/>
    <w:rsid w:val="008B7D9A"/>
    <w:rsid w:val="008C0973"/>
    <w:rsid w:val="008D4A25"/>
    <w:rsid w:val="008D7BFC"/>
    <w:rsid w:val="008D7F70"/>
    <w:rsid w:val="008E4139"/>
    <w:rsid w:val="008F05B0"/>
    <w:rsid w:val="008F0C84"/>
    <w:rsid w:val="008F1350"/>
    <w:rsid w:val="008F3680"/>
    <w:rsid w:val="00900157"/>
    <w:rsid w:val="00900FA9"/>
    <w:rsid w:val="00901671"/>
    <w:rsid w:val="00901873"/>
    <w:rsid w:val="009018D2"/>
    <w:rsid w:val="00910264"/>
    <w:rsid w:val="009121D1"/>
    <w:rsid w:val="00912252"/>
    <w:rsid w:val="00913B28"/>
    <w:rsid w:val="00914E06"/>
    <w:rsid w:val="009169D1"/>
    <w:rsid w:val="009173B1"/>
    <w:rsid w:val="009227E4"/>
    <w:rsid w:val="009253D1"/>
    <w:rsid w:val="00931A44"/>
    <w:rsid w:val="00942DB6"/>
    <w:rsid w:val="009460D6"/>
    <w:rsid w:val="00946327"/>
    <w:rsid w:val="00946F1B"/>
    <w:rsid w:val="00951480"/>
    <w:rsid w:val="00961715"/>
    <w:rsid w:val="00962E56"/>
    <w:rsid w:val="0096387A"/>
    <w:rsid w:val="009649D9"/>
    <w:rsid w:val="00970692"/>
    <w:rsid w:val="009713F5"/>
    <w:rsid w:val="00971617"/>
    <w:rsid w:val="00973DC8"/>
    <w:rsid w:val="00974598"/>
    <w:rsid w:val="00974F77"/>
    <w:rsid w:val="009818D5"/>
    <w:rsid w:val="0098493C"/>
    <w:rsid w:val="0099077D"/>
    <w:rsid w:val="00993775"/>
    <w:rsid w:val="00994EC8"/>
    <w:rsid w:val="00997C0F"/>
    <w:rsid w:val="00997C38"/>
    <w:rsid w:val="009A48DF"/>
    <w:rsid w:val="009A594E"/>
    <w:rsid w:val="009A6826"/>
    <w:rsid w:val="009B7B0C"/>
    <w:rsid w:val="009C1961"/>
    <w:rsid w:val="009C2ADE"/>
    <w:rsid w:val="009C5F1B"/>
    <w:rsid w:val="009C5F5E"/>
    <w:rsid w:val="009D38EC"/>
    <w:rsid w:val="009D4881"/>
    <w:rsid w:val="009D5422"/>
    <w:rsid w:val="009D5439"/>
    <w:rsid w:val="009D5E2D"/>
    <w:rsid w:val="009D69C1"/>
    <w:rsid w:val="009E0859"/>
    <w:rsid w:val="009E19DB"/>
    <w:rsid w:val="009E22DF"/>
    <w:rsid w:val="009E26EC"/>
    <w:rsid w:val="009E4196"/>
    <w:rsid w:val="009E5B03"/>
    <w:rsid w:val="009F2512"/>
    <w:rsid w:val="009F2D56"/>
    <w:rsid w:val="009F4555"/>
    <w:rsid w:val="009F4AC2"/>
    <w:rsid w:val="009F5311"/>
    <w:rsid w:val="00A00BC1"/>
    <w:rsid w:val="00A03BB5"/>
    <w:rsid w:val="00A07D26"/>
    <w:rsid w:val="00A105E7"/>
    <w:rsid w:val="00A11E39"/>
    <w:rsid w:val="00A1715A"/>
    <w:rsid w:val="00A2040A"/>
    <w:rsid w:val="00A20935"/>
    <w:rsid w:val="00A21626"/>
    <w:rsid w:val="00A24292"/>
    <w:rsid w:val="00A25FF0"/>
    <w:rsid w:val="00A2704C"/>
    <w:rsid w:val="00A3119F"/>
    <w:rsid w:val="00A366ED"/>
    <w:rsid w:val="00A379D7"/>
    <w:rsid w:val="00A40686"/>
    <w:rsid w:val="00A421DE"/>
    <w:rsid w:val="00A42A47"/>
    <w:rsid w:val="00A469BF"/>
    <w:rsid w:val="00A473C2"/>
    <w:rsid w:val="00A50BA5"/>
    <w:rsid w:val="00A51556"/>
    <w:rsid w:val="00A51B5D"/>
    <w:rsid w:val="00A54CAA"/>
    <w:rsid w:val="00A5512A"/>
    <w:rsid w:val="00A571ED"/>
    <w:rsid w:val="00A577D8"/>
    <w:rsid w:val="00A57BE6"/>
    <w:rsid w:val="00A60195"/>
    <w:rsid w:val="00A6659B"/>
    <w:rsid w:val="00A721E8"/>
    <w:rsid w:val="00A72F0E"/>
    <w:rsid w:val="00A75632"/>
    <w:rsid w:val="00A76146"/>
    <w:rsid w:val="00A76BC1"/>
    <w:rsid w:val="00A855E9"/>
    <w:rsid w:val="00A87013"/>
    <w:rsid w:val="00A9296A"/>
    <w:rsid w:val="00A946FC"/>
    <w:rsid w:val="00A94AFA"/>
    <w:rsid w:val="00A94CA3"/>
    <w:rsid w:val="00A95115"/>
    <w:rsid w:val="00A9547B"/>
    <w:rsid w:val="00A96AC3"/>
    <w:rsid w:val="00A97EDD"/>
    <w:rsid w:val="00AA06C6"/>
    <w:rsid w:val="00AA1A83"/>
    <w:rsid w:val="00AA3FC0"/>
    <w:rsid w:val="00AA476A"/>
    <w:rsid w:val="00AA4A21"/>
    <w:rsid w:val="00AA52E9"/>
    <w:rsid w:val="00AA6253"/>
    <w:rsid w:val="00AA703E"/>
    <w:rsid w:val="00AA709B"/>
    <w:rsid w:val="00AA7878"/>
    <w:rsid w:val="00AA7D80"/>
    <w:rsid w:val="00AA7F89"/>
    <w:rsid w:val="00AB0221"/>
    <w:rsid w:val="00AB1AFA"/>
    <w:rsid w:val="00AB3BF5"/>
    <w:rsid w:val="00AC13AB"/>
    <w:rsid w:val="00AC1652"/>
    <w:rsid w:val="00AC6C53"/>
    <w:rsid w:val="00AC6D2B"/>
    <w:rsid w:val="00AC7763"/>
    <w:rsid w:val="00AD0449"/>
    <w:rsid w:val="00AD0CE3"/>
    <w:rsid w:val="00AD4480"/>
    <w:rsid w:val="00AD45CF"/>
    <w:rsid w:val="00AD578C"/>
    <w:rsid w:val="00AD7CB3"/>
    <w:rsid w:val="00AE06A3"/>
    <w:rsid w:val="00AE0F68"/>
    <w:rsid w:val="00AE4C86"/>
    <w:rsid w:val="00AE51A0"/>
    <w:rsid w:val="00AE5269"/>
    <w:rsid w:val="00AE6329"/>
    <w:rsid w:val="00AE6A8E"/>
    <w:rsid w:val="00AE6D16"/>
    <w:rsid w:val="00AF1C6A"/>
    <w:rsid w:val="00AF493F"/>
    <w:rsid w:val="00AF5324"/>
    <w:rsid w:val="00AF703B"/>
    <w:rsid w:val="00B009C9"/>
    <w:rsid w:val="00B01A71"/>
    <w:rsid w:val="00B022F7"/>
    <w:rsid w:val="00B034E5"/>
    <w:rsid w:val="00B04889"/>
    <w:rsid w:val="00B04F76"/>
    <w:rsid w:val="00B07DE8"/>
    <w:rsid w:val="00B136FE"/>
    <w:rsid w:val="00B153A8"/>
    <w:rsid w:val="00B21AD6"/>
    <w:rsid w:val="00B24B9B"/>
    <w:rsid w:val="00B255D6"/>
    <w:rsid w:val="00B27471"/>
    <w:rsid w:val="00B31109"/>
    <w:rsid w:val="00B31C38"/>
    <w:rsid w:val="00B32658"/>
    <w:rsid w:val="00B3350B"/>
    <w:rsid w:val="00B33C10"/>
    <w:rsid w:val="00B36E1E"/>
    <w:rsid w:val="00B3703F"/>
    <w:rsid w:val="00B3722B"/>
    <w:rsid w:val="00B42629"/>
    <w:rsid w:val="00B456FB"/>
    <w:rsid w:val="00B45C64"/>
    <w:rsid w:val="00B476F5"/>
    <w:rsid w:val="00B50125"/>
    <w:rsid w:val="00B51A0A"/>
    <w:rsid w:val="00B535CA"/>
    <w:rsid w:val="00B5785B"/>
    <w:rsid w:val="00B61949"/>
    <w:rsid w:val="00B64D62"/>
    <w:rsid w:val="00B65E90"/>
    <w:rsid w:val="00B70D9D"/>
    <w:rsid w:val="00B71A5E"/>
    <w:rsid w:val="00B73283"/>
    <w:rsid w:val="00B739F6"/>
    <w:rsid w:val="00B762CC"/>
    <w:rsid w:val="00B76848"/>
    <w:rsid w:val="00B804CE"/>
    <w:rsid w:val="00B8108D"/>
    <w:rsid w:val="00B81776"/>
    <w:rsid w:val="00B823E1"/>
    <w:rsid w:val="00B85A87"/>
    <w:rsid w:val="00B87FA0"/>
    <w:rsid w:val="00B9275A"/>
    <w:rsid w:val="00B92BB8"/>
    <w:rsid w:val="00B9522A"/>
    <w:rsid w:val="00B957E1"/>
    <w:rsid w:val="00BA044E"/>
    <w:rsid w:val="00BA10AA"/>
    <w:rsid w:val="00BA4E7F"/>
    <w:rsid w:val="00BA5B19"/>
    <w:rsid w:val="00BB2BB0"/>
    <w:rsid w:val="00BB4712"/>
    <w:rsid w:val="00BC1C9B"/>
    <w:rsid w:val="00BC5EC6"/>
    <w:rsid w:val="00BC6C57"/>
    <w:rsid w:val="00BD4566"/>
    <w:rsid w:val="00BD4A00"/>
    <w:rsid w:val="00BD54F6"/>
    <w:rsid w:val="00BD58F6"/>
    <w:rsid w:val="00BD68A9"/>
    <w:rsid w:val="00BD7135"/>
    <w:rsid w:val="00BD7351"/>
    <w:rsid w:val="00BD7D0D"/>
    <w:rsid w:val="00BE4F38"/>
    <w:rsid w:val="00BE536A"/>
    <w:rsid w:val="00BE63F3"/>
    <w:rsid w:val="00BE7267"/>
    <w:rsid w:val="00BF0BB9"/>
    <w:rsid w:val="00BF79B7"/>
    <w:rsid w:val="00C002F4"/>
    <w:rsid w:val="00C04541"/>
    <w:rsid w:val="00C0464D"/>
    <w:rsid w:val="00C0475E"/>
    <w:rsid w:val="00C04EF6"/>
    <w:rsid w:val="00C10001"/>
    <w:rsid w:val="00C10343"/>
    <w:rsid w:val="00C1085C"/>
    <w:rsid w:val="00C15B27"/>
    <w:rsid w:val="00C16B7F"/>
    <w:rsid w:val="00C22486"/>
    <w:rsid w:val="00C2593A"/>
    <w:rsid w:val="00C259A1"/>
    <w:rsid w:val="00C27799"/>
    <w:rsid w:val="00C34062"/>
    <w:rsid w:val="00C35418"/>
    <w:rsid w:val="00C35E64"/>
    <w:rsid w:val="00C36C84"/>
    <w:rsid w:val="00C41D53"/>
    <w:rsid w:val="00C44D6A"/>
    <w:rsid w:val="00C44FE4"/>
    <w:rsid w:val="00C45140"/>
    <w:rsid w:val="00C4521B"/>
    <w:rsid w:val="00C50CFA"/>
    <w:rsid w:val="00C52BDC"/>
    <w:rsid w:val="00C53B62"/>
    <w:rsid w:val="00C56946"/>
    <w:rsid w:val="00C60279"/>
    <w:rsid w:val="00C609DE"/>
    <w:rsid w:val="00C61FD7"/>
    <w:rsid w:val="00C62BA3"/>
    <w:rsid w:val="00C6500A"/>
    <w:rsid w:val="00C67CDB"/>
    <w:rsid w:val="00C7076A"/>
    <w:rsid w:val="00C72795"/>
    <w:rsid w:val="00C72ED5"/>
    <w:rsid w:val="00C74F67"/>
    <w:rsid w:val="00C75932"/>
    <w:rsid w:val="00C76A17"/>
    <w:rsid w:val="00C821E7"/>
    <w:rsid w:val="00C8236E"/>
    <w:rsid w:val="00C84332"/>
    <w:rsid w:val="00C85F89"/>
    <w:rsid w:val="00C8623F"/>
    <w:rsid w:val="00C86400"/>
    <w:rsid w:val="00C878F7"/>
    <w:rsid w:val="00C91D46"/>
    <w:rsid w:val="00C921DE"/>
    <w:rsid w:val="00C96379"/>
    <w:rsid w:val="00C96F3C"/>
    <w:rsid w:val="00C970FC"/>
    <w:rsid w:val="00C9775A"/>
    <w:rsid w:val="00CA04B3"/>
    <w:rsid w:val="00CA0B52"/>
    <w:rsid w:val="00CA3966"/>
    <w:rsid w:val="00CA4E99"/>
    <w:rsid w:val="00CA612F"/>
    <w:rsid w:val="00CA6530"/>
    <w:rsid w:val="00CA6A32"/>
    <w:rsid w:val="00CA76DA"/>
    <w:rsid w:val="00CB0D89"/>
    <w:rsid w:val="00CB0EC1"/>
    <w:rsid w:val="00CB4116"/>
    <w:rsid w:val="00CB4F36"/>
    <w:rsid w:val="00CB50EE"/>
    <w:rsid w:val="00CB702A"/>
    <w:rsid w:val="00CB7277"/>
    <w:rsid w:val="00CC172D"/>
    <w:rsid w:val="00CC2EE9"/>
    <w:rsid w:val="00CC35DE"/>
    <w:rsid w:val="00CC4FB5"/>
    <w:rsid w:val="00CC79C3"/>
    <w:rsid w:val="00CD0A3B"/>
    <w:rsid w:val="00CD26D8"/>
    <w:rsid w:val="00CD30F4"/>
    <w:rsid w:val="00CD594D"/>
    <w:rsid w:val="00CD750F"/>
    <w:rsid w:val="00CE08F1"/>
    <w:rsid w:val="00CE168A"/>
    <w:rsid w:val="00CF1F89"/>
    <w:rsid w:val="00CF212A"/>
    <w:rsid w:val="00CF66E2"/>
    <w:rsid w:val="00D027AF"/>
    <w:rsid w:val="00D032E4"/>
    <w:rsid w:val="00D032FE"/>
    <w:rsid w:val="00D053B8"/>
    <w:rsid w:val="00D05A28"/>
    <w:rsid w:val="00D125C6"/>
    <w:rsid w:val="00D14A84"/>
    <w:rsid w:val="00D15FC2"/>
    <w:rsid w:val="00D16C99"/>
    <w:rsid w:val="00D17AEE"/>
    <w:rsid w:val="00D23828"/>
    <w:rsid w:val="00D2461E"/>
    <w:rsid w:val="00D24759"/>
    <w:rsid w:val="00D2571C"/>
    <w:rsid w:val="00D32B2E"/>
    <w:rsid w:val="00D32DF7"/>
    <w:rsid w:val="00D358C4"/>
    <w:rsid w:val="00D365AE"/>
    <w:rsid w:val="00D379F1"/>
    <w:rsid w:val="00D40CCD"/>
    <w:rsid w:val="00D413C3"/>
    <w:rsid w:val="00D47EE6"/>
    <w:rsid w:val="00D53707"/>
    <w:rsid w:val="00D541BE"/>
    <w:rsid w:val="00D60893"/>
    <w:rsid w:val="00D64F90"/>
    <w:rsid w:val="00D713C2"/>
    <w:rsid w:val="00D74806"/>
    <w:rsid w:val="00D85932"/>
    <w:rsid w:val="00D901AE"/>
    <w:rsid w:val="00D91DB6"/>
    <w:rsid w:val="00D932F2"/>
    <w:rsid w:val="00D9340F"/>
    <w:rsid w:val="00D93E96"/>
    <w:rsid w:val="00D97AE9"/>
    <w:rsid w:val="00DA03FC"/>
    <w:rsid w:val="00DA0755"/>
    <w:rsid w:val="00DA2FEB"/>
    <w:rsid w:val="00DA3B73"/>
    <w:rsid w:val="00DA61CD"/>
    <w:rsid w:val="00DB0BC0"/>
    <w:rsid w:val="00DB1123"/>
    <w:rsid w:val="00DB2A28"/>
    <w:rsid w:val="00DB373C"/>
    <w:rsid w:val="00DB5AA3"/>
    <w:rsid w:val="00DB5DEB"/>
    <w:rsid w:val="00DB66E7"/>
    <w:rsid w:val="00DB76CF"/>
    <w:rsid w:val="00DC6BF3"/>
    <w:rsid w:val="00DD3C91"/>
    <w:rsid w:val="00DD55A7"/>
    <w:rsid w:val="00DD58C7"/>
    <w:rsid w:val="00DD799B"/>
    <w:rsid w:val="00DE223D"/>
    <w:rsid w:val="00DE6312"/>
    <w:rsid w:val="00DE6EE9"/>
    <w:rsid w:val="00DF09DB"/>
    <w:rsid w:val="00DF1117"/>
    <w:rsid w:val="00DF4AA4"/>
    <w:rsid w:val="00DF54C6"/>
    <w:rsid w:val="00DF65CC"/>
    <w:rsid w:val="00DF6D2A"/>
    <w:rsid w:val="00E043EE"/>
    <w:rsid w:val="00E05A23"/>
    <w:rsid w:val="00E06EE3"/>
    <w:rsid w:val="00E07264"/>
    <w:rsid w:val="00E1142B"/>
    <w:rsid w:val="00E116B9"/>
    <w:rsid w:val="00E12788"/>
    <w:rsid w:val="00E137F9"/>
    <w:rsid w:val="00E13994"/>
    <w:rsid w:val="00E13A99"/>
    <w:rsid w:val="00E14E19"/>
    <w:rsid w:val="00E15CF8"/>
    <w:rsid w:val="00E23529"/>
    <w:rsid w:val="00E24D52"/>
    <w:rsid w:val="00E24F6A"/>
    <w:rsid w:val="00E2626C"/>
    <w:rsid w:val="00E329F4"/>
    <w:rsid w:val="00E34FF0"/>
    <w:rsid w:val="00E35257"/>
    <w:rsid w:val="00E37A90"/>
    <w:rsid w:val="00E4191C"/>
    <w:rsid w:val="00E4254E"/>
    <w:rsid w:val="00E426CF"/>
    <w:rsid w:val="00E4357C"/>
    <w:rsid w:val="00E44470"/>
    <w:rsid w:val="00E44591"/>
    <w:rsid w:val="00E44AEC"/>
    <w:rsid w:val="00E452A9"/>
    <w:rsid w:val="00E50336"/>
    <w:rsid w:val="00E521B9"/>
    <w:rsid w:val="00E52A01"/>
    <w:rsid w:val="00E53C43"/>
    <w:rsid w:val="00E54CA5"/>
    <w:rsid w:val="00E61756"/>
    <w:rsid w:val="00E626C9"/>
    <w:rsid w:val="00E63867"/>
    <w:rsid w:val="00E6524B"/>
    <w:rsid w:val="00E65389"/>
    <w:rsid w:val="00E67A5C"/>
    <w:rsid w:val="00E70405"/>
    <w:rsid w:val="00E70EC2"/>
    <w:rsid w:val="00E716AB"/>
    <w:rsid w:val="00E73BFD"/>
    <w:rsid w:val="00E76C61"/>
    <w:rsid w:val="00E81467"/>
    <w:rsid w:val="00E81977"/>
    <w:rsid w:val="00E87D55"/>
    <w:rsid w:val="00E90DAB"/>
    <w:rsid w:val="00E9163D"/>
    <w:rsid w:val="00E945E3"/>
    <w:rsid w:val="00E94C20"/>
    <w:rsid w:val="00E94C89"/>
    <w:rsid w:val="00EA1687"/>
    <w:rsid w:val="00EA1DFB"/>
    <w:rsid w:val="00EA3066"/>
    <w:rsid w:val="00EA3AA2"/>
    <w:rsid w:val="00EA4681"/>
    <w:rsid w:val="00EA50BF"/>
    <w:rsid w:val="00EB0901"/>
    <w:rsid w:val="00EB2264"/>
    <w:rsid w:val="00EB2BCF"/>
    <w:rsid w:val="00EB4CB7"/>
    <w:rsid w:val="00EB4DC7"/>
    <w:rsid w:val="00EB7670"/>
    <w:rsid w:val="00EC5A8D"/>
    <w:rsid w:val="00EC6A66"/>
    <w:rsid w:val="00ED1194"/>
    <w:rsid w:val="00ED2F97"/>
    <w:rsid w:val="00EE4241"/>
    <w:rsid w:val="00EE65AF"/>
    <w:rsid w:val="00EF0AA0"/>
    <w:rsid w:val="00EF16B5"/>
    <w:rsid w:val="00EF1D29"/>
    <w:rsid w:val="00EF3CC3"/>
    <w:rsid w:val="00EF3E48"/>
    <w:rsid w:val="00EF61D9"/>
    <w:rsid w:val="00EF7E2D"/>
    <w:rsid w:val="00F00EE9"/>
    <w:rsid w:val="00F030B1"/>
    <w:rsid w:val="00F0396C"/>
    <w:rsid w:val="00F0524D"/>
    <w:rsid w:val="00F12BA2"/>
    <w:rsid w:val="00F131D3"/>
    <w:rsid w:val="00F1383F"/>
    <w:rsid w:val="00F14C4A"/>
    <w:rsid w:val="00F14F00"/>
    <w:rsid w:val="00F14F4B"/>
    <w:rsid w:val="00F15306"/>
    <w:rsid w:val="00F1672F"/>
    <w:rsid w:val="00F205BE"/>
    <w:rsid w:val="00F22268"/>
    <w:rsid w:val="00F239B3"/>
    <w:rsid w:val="00F26D23"/>
    <w:rsid w:val="00F3150F"/>
    <w:rsid w:val="00F36C7D"/>
    <w:rsid w:val="00F406DA"/>
    <w:rsid w:val="00F41BCD"/>
    <w:rsid w:val="00F43538"/>
    <w:rsid w:val="00F47902"/>
    <w:rsid w:val="00F5093D"/>
    <w:rsid w:val="00F50E3C"/>
    <w:rsid w:val="00F52556"/>
    <w:rsid w:val="00F57376"/>
    <w:rsid w:val="00F57C2E"/>
    <w:rsid w:val="00F60024"/>
    <w:rsid w:val="00F6181D"/>
    <w:rsid w:val="00F61FE2"/>
    <w:rsid w:val="00F6369C"/>
    <w:rsid w:val="00F63869"/>
    <w:rsid w:val="00F64918"/>
    <w:rsid w:val="00F67168"/>
    <w:rsid w:val="00F67675"/>
    <w:rsid w:val="00F73289"/>
    <w:rsid w:val="00F742F4"/>
    <w:rsid w:val="00F75A98"/>
    <w:rsid w:val="00F858B4"/>
    <w:rsid w:val="00F860B7"/>
    <w:rsid w:val="00F8619A"/>
    <w:rsid w:val="00F91216"/>
    <w:rsid w:val="00F9180E"/>
    <w:rsid w:val="00F93FA1"/>
    <w:rsid w:val="00F9426F"/>
    <w:rsid w:val="00F94B66"/>
    <w:rsid w:val="00F95FED"/>
    <w:rsid w:val="00F96197"/>
    <w:rsid w:val="00FA21BA"/>
    <w:rsid w:val="00FA2E35"/>
    <w:rsid w:val="00FA42B0"/>
    <w:rsid w:val="00FA5280"/>
    <w:rsid w:val="00FA7DA3"/>
    <w:rsid w:val="00FB26BA"/>
    <w:rsid w:val="00FB289C"/>
    <w:rsid w:val="00FB3912"/>
    <w:rsid w:val="00FB63D4"/>
    <w:rsid w:val="00FC21E0"/>
    <w:rsid w:val="00FC24BF"/>
    <w:rsid w:val="00FC2790"/>
    <w:rsid w:val="00FC3599"/>
    <w:rsid w:val="00FC5584"/>
    <w:rsid w:val="00FC5C80"/>
    <w:rsid w:val="00FC75DA"/>
    <w:rsid w:val="00FC7C6D"/>
    <w:rsid w:val="00FD0B6C"/>
    <w:rsid w:val="00FD322B"/>
    <w:rsid w:val="00FD4AD6"/>
    <w:rsid w:val="00FD6EFC"/>
    <w:rsid w:val="00FE5F9D"/>
    <w:rsid w:val="00FE642D"/>
    <w:rsid w:val="00FF230B"/>
    <w:rsid w:val="00FF3C95"/>
    <w:rsid w:val="00FF63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A574C"/>
  <w15:chartTrackingRefBased/>
  <w15:docId w15:val="{6D13F360-916B-49F8-B064-06677E75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2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42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42B0"/>
  </w:style>
  <w:style w:type="paragraph" w:styleId="Piedepgina">
    <w:name w:val="footer"/>
    <w:basedOn w:val="Normal"/>
    <w:link w:val="PiedepginaCar"/>
    <w:uiPriority w:val="99"/>
    <w:unhideWhenUsed/>
    <w:rsid w:val="00FA42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42B0"/>
  </w:style>
  <w:style w:type="table" w:styleId="Tablaconcuadrcula">
    <w:name w:val="Table Grid"/>
    <w:basedOn w:val="Tablanormal"/>
    <w:uiPriority w:val="39"/>
    <w:rsid w:val="00FA4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 Car Car,Ca,f,ft,Texto nota pie2"/>
    <w:basedOn w:val="Normal"/>
    <w:link w:val="TextonotapieCar"/>
    <w:uiPriority w:val="99"/>
    <w:unhideWhenUsed/>
    <w:qFormat/>
    <w:rsid w:val="007307AD"/>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ootnote Text Cha Car1,Footnote Text Char Char Char Car1,FA Fußnotentext Car1,FA Fuﬂnotentext Car1,Ca Car1,f Car"/>
    <w:basedOn w:val="Fuentedeprrafopredeter"/>
    <w:link w:val="Textonotapie"/>
    <w:uiPriority w:val="99"/>
    <w:rsid w:val="007307AD"/>
    <w:rPr>
      <w:sz w:val="20"/>
      <w:szCs w:val="20"/>
    </w:rPr>
  </w:style>
  <w:style w:type="character" w:styleId="Refdenotaalpie">
    <w:name w:val="footnote reference"/>
    <w:aliases w:val="Ref,de nota al pie,FC,Appel note de bas de p,Ref. de nota al pie 2,Pie de Página,Texto de nota al pie,Texto de nota al p,Pie de Pàgina,F,Pie de P_gin,Pie de P_,Texto de nota al pi,Pie de P_g,Footnotes refss,Appel note de bas de page"/>
    <w:basedOn w:val="Fuentedeprrafopredeter"/>
    <w:uiPriority w:val="99"/>
    <w:unhideWhenUsed/>
    <w:qFormat/>
    <w:rsid w:val="007307AD"/>
    <w:rPr>
      <w:vertAlign w:val="superscript"/>
    </w:rPr>
  </w:style>
  <w:style w:type="character" w:styleId="Hipervnculo">
    <w:name w:val="Hyperlink"/>
    <w:basedOn w:val="Fuentedeprrafopredeter"/>
    <w:uiPriority w:val="99"/>
    <w:unhideWhenUsed/>
    <w:rsid w:val="007307AD"/>
    <w:rPr>
      <w:color w:val="0563C1" w:themeColor="hyperlink"/>
      <w:u w:val="single"/>
    </w:rPr>
  </w:style>
  <w:style w:type="paragraph" w:styleId="Textodeglobo">
    <w:name w:val="Balloon Text"/>
    <w:basedOn w:val="Normal"/>
    <w:link w:val="TextodegloboCar"/>
    <w:uiPriority w:val="99"/>
    <w:semiHidden/>
    <w:unhideWhenUsed/>
    <w:rsid w:val="001743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309"/>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8F3680"/>
    <w:rPr>
      <w:color w:val="605E5C"/>
      <w:shd w:val="clear" w:color="auto" w:fill="E1DFDD"/>
    </w:rPr>
  </w:style>
  <w:style w:type="character" w:styleId="Nmerodepgina">
    <w:name w:val="page number"/>
    <w:basedOn w:val="Fuentedeprrafopredeter"/>
    <w:uiPriority w:val="99"/>
    <w:unhideWhenUsed/>
    <w:rsid w:val="00586C2F"/>
  </w:style>
  <w:style w:type="paragraph" w:styleId="NormalWeb">
    <w:name w:val="Normal (Web)"/>
    <w:basedOn w:val="Normal"/>
    <w:uiPriority w:val="99"/>
    <w:rsid w:val="00AE526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aliases w:val="List1,LISTA,Párrafo de lista1,Párrafo de lista2,Ha,Resume Title,Bullet List,FooterText,numbered,List Paragraph1,Paragraphe de liste1,lp1,HOJA,Colorful List Accent 1,Colorful List - Accent 11,titulo 3,Colorful List - Accent 111,Bullets"/>
    <w:basedOn w:val="Normal"/>
    <w:link w:val="PrrafodelistaCar"/>
    <w:uiPriority w:val="34"/>
    <w:qFormat/>
    <w:rsid w:val="00AE5269"/>
    <w:pPr>
      <w:spacing w:after="200" w:line="276" w:lineRule="auto"/>
      <w:ind w:left="720"/>
      <w:contextualSpacing/>
    </w:pPr>
    <w:rPr>
      <w:rFonts w:ascii="Calibri" w:eastAsia="Calibri" w:hAnsi="Calibri" w:cs="Times New Roman"/>
      <w:lang w:val="es-CO"/>
    </w:rPr>
  </w:style>
  <w:style w:type="character" w:customStyle="1" w:styleId="PrrafodelistaCar">
    <w:name w:val="Párrafo de lista Car"/>
    <w:aliases w:val="List1 Car,LISTA Car,Párrafo de lista1 Car,Párrafo de lista2 Car,Ha Car,Resume Title Car,Bullet List Car,FooterText Car,numbered Car,List Paragraph1 Car,Paragraphe de liste1 Car,lp1 Car,HOJA Car,Colorful List Accent 1 Car,Bullets Car"/>
    <w:basedOn w:val="Fuentedeprrafopredeter"/>
    <w:link w:val="Prrafodelista"/>
    <w:uiPriority w:val="34"/>
    <w:qFormat/>
    <w:rsid w:val="00AE5269"/>
    <w:rPr>
      <w:rFonts w:ascii="Calibri" w:eastAsia="Calibri" w:hAnsi="Calibri" w:cs="Times New Roman"/>
      <w:lang w:val="es-CO"/>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FA Fu Car Car Car,Ca Car"/>
    <w:rsid w:val="00AE5269"/>
    <w:rPr>
      <w:lang w:val="es-ES" w:eastAsia="es-ES"/>
    </w:rPr>
  </w:style>
  <w:style w:type="character" w:styleId="Textoennegrita">
    <w:name w:val="Strong"/>
    <w:uiPriority w:val="22"/>
    <w:qFormat/>
    <w:rsid w:val="00AE5269"/>
    <w:rPr>
      <w:b/>
      <w:bCs/>
    </w:rPr>
  </w:style>
  <w:style w:type="paragraph" w:customStyle="1" w:styleId="western">
    <w:name w:val="western"/>
    <w:basedOn w:val="Normal"/>
    <w:rsid w:val="00AE5269"/>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subtitul">
    <w:name w:val="subtitul"/>
    <w:basedOn w:val="Normal"/>
    <w:rsid w:val="005E7B5A"/>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Refdecomentario">
    <w:name w:val="annotation reference"/>
    <w:basedOn w:val="Fuentedeprrafopredeter"/>
    <w:uiPriority w:val="99"/>
    <w:semiHidden/>
    <w:unhideWhenUsed/>
    <w:rsid w:val="00F5093D"/>
    <w:rPr>
      <w:sz w:val="16"/>
      <w:szCs w:val="16"/>
    </w:rPr>
  </w:style>
  <w:style w:type="paragraph" w:styleId="Textocomentario">
    <w:name w:val="annotation text"/>
    <w:basedOn w:val="Normal"/>
    <w:link w:val="TextocomentarioCar"/>
    <w:uiPriority w:val="99"/>
    <w:semiHidden/>
    <w:unhideWhenUsed/>
    <w:rsid w:val="00F509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093D"/>
    <w:rPr>
      <w:sz w:val="20"/>
      <w:szCs w:val="20"/>
    </w:rPr>
  </w:style>
  <w:style w:type="paragraph" w:styleId="Asuntodelcomentario">
    <w:name w:val="annotation subject"/>
    <w:basedOn w:val="Textocomentario"/>
    <w:next w:val="Textocomentario"/>
    <w:link w:val="AsuntodelcomentarioCar"/>
    <w:uiPriority w:val="99"/>
    <w:semiHidden/>
    <w:unhideWhenUsed/>
    <w:rsid w:val="00F5093D"/>
    <w:rPr>
      <w:b/>
      <w:bCs/>
    </w:rPr>
  </w:style>
  <w:style w:type="character" w:customStyle="1" w:styleId="AsuntodelcomentarioCar">
    <w:name w:val="Asunto del comentario Car"/>
    <w:basedOn w:val="TextocomentarioCar"/>
    <w:link w:val="Asuntodelcomentario"/>
    <w:uiPriority w:val="99"/>
    <w:semiHidden/>
    <w:rsid w:val="00F5093D"/>
    <w:rPr>
      <w:b/>
      <w:bCs/>
      <w:sz w:val="20"/>
      <w:szCs w:val="20"/>
    </w:rPr>
  </w:style>
  <w:style w:type="character" w:customStyle="1" w:styleId="Mencinsinresolver2">
    <w:name w:val="Mención sin resolver2"/>
    <w:basedOn w:val="Fuentedeprrafopredeter"/>
    <w:uiPriority w:val="99"/>
    <w:semiHidden/>
    <w:unhideWhenUsed/>
    <w:rsid w:val="00DF1117"/>
    <w:rPr>
      <w:color w:val="605E5C"/>
      <w:shd w:val="clear" w:color="auto" w:fill="E1DFDD"/>
    </w:rPr>
  </w:style>
  <w:style w:type="paragraph" w:styleId="Revisin">
    <w:name w:val="Revision"/>
    <w:hidden/>
    <w:uiPriority w:val="99"/>
    <w:semiHidden/>
    <w:rsid w:val="00A95115"/>
    <w:pPr>
      <w:spacing w:after="0" w:line="240" w:lineRule="auto"/>
    </w:pPr>
  </w:style>
  <w:style w:type="paragraph" w:customStyle="1" w:styleId="Default">
    <w:name w:val="Default"/>
    <w:rsid w:val="00B92BB8"/>
    <w:pPr>
      <w:autoSpaceDE w:val="0"/>
      <w:autoSpaceDN w:val="0"/>
      <w:adjustRightInd w:val="0"/>
      <w:spacing w:after="0" w:line="240" w:lineRule="auto"/>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4397">
      <w:bodyDiv w:val="1"/>
      <w:marLeft w:val="0"/>
      <w:marRight w:val="0"/>
      <w:marTop w:val="0"/>
      <w:marBottom w:val="0"/>
      <w:divBdr>
        <w:top w:val="none" w:sz="0" w:space="0" w:color="auto"/>
        <w:left w:val="none" w:sz="0" w:space="0" w:color="auto"/>
        <w:bottom w:val="none" w:sz="0" w:space="0" w:color="auto"/>
        <w:right w:val="none" w:sz="0" w:space="0" w:color="auto"/>
      </w:divBdr>
    </w:div>
    <w:div w:id="201018443">
      <w:bodyDiv w:val="1"/>
      <w:marLeft w:val="0"/>
      <w:marRight w:val="0"/>
      <w:marTop w:val="0"/>
      <w:marBottom w:val="0"/>
      <w:divBdr>
        <w:top w:val="none" w:sz="0" w:space="0" w:color="auto"/>
        <w:left w:val="none" w:sz="0" w:space="0" w:color="auto"/>
        <w:bottom w:val="none" w:sz="0" w:space="0" w:color="auto"/>
        <w:right w:val="none" w:sz="0" w:space="0" w:color="auto"/>
      </w:divBdr>
    </w:div>
    <w:div w:id="201669671">
      <w:bodyDiv w:val="1"/>
      <w:marLeft w:val="0"/>
      <w:marRight w:val="0"/>
      <w:marTop w:val="0"/>
      <w:marBottom w:val="0"/>
      <w:divBdr>
        <w:top w:val="none" w:sz="0" w:space="0" w:color="auto"/>
        <w:left w:val="none" w:sz="0" w:space="0" w:color="auto"/>
        <w:bottom w:val="none" w:sz="0" w:space="0" w:color="auto"/>
        <w:right w:val="none" w:sz="0" w:space="0" w:color="auto"/>
      </w:divBdr>
      <w:divsChild>
        <w:div w:id="1701201619">
          <w:marLeft w:val="0"/>
          <w:marRight w:val="0"/>
          <w:marTop w:val="0"/>
          <w:marBottom w:val="0"/>
          <w:divBdr>
            <w:top w:val="none" w:sz="0" w:space="0" w:color="auto"/>
            <w:left w:val="none" w:sz="0" w:space="0" w:color="auto"/>
            <w:bottom w:val="none" w:sz="0" w:space="0" w:color="auto"/>
            <w:right w:val="none" w:sz="0" w:space="0" w:color="auto"/>
          </w:divBdr>
        </w:div>
        <w:div w:id="887910879">
          <w:marLeft w:val="0"/>
          <w:marRight w:val="0"/>
          <w:marTop w:val="0"/>
          <w:marBottom w:val="0"/>
          <w:divBdr>
            <w:top w:val="none" w:sz="0" w:space="0" w:color="auto"/>
            <w:left w:val="none" w:sz="0" w:space="0" w:color="auto"/>
            <w:bottom w:val="none" w:sz="0" w:space="0" w:color="auto"/>
            <w:right w:val="none" w:sz="0" w:space="0" w:color="auto"/>
          </w:divBdr>
        </w:div>
        <w:div w:id="655107882">
          <w:marLeft w:val="0"/>
          <w:marRight w:val="0"/>
          <w:marTop w:val="0"/>
          <w:marBottom w:val="0"/>
          <w:divBdr>
            <w:top w:val="none" w:sz="0" w:space="0" w:color="auto"/>
            <w:left w:val="none" w:sz="0" w:space="0" w:color="auto"/>
            <w:bottom w:val="none" w:sz="0" w:space="0" w:color="auto"/>
            <w:right w:val="none" w:sz="0" w:space="0" w:color="auto"/>
          </w:divBdr>
        </w:div>
      </w:divsChild>
    </w:div>
    <w:div w:id="280844393">
      <w:bodyDiv w:val="1"/>
      <w:marLeft w:val="0"/>
      <w:marRight w:val="0"/>
      <w:marTop w:val="0"/>
      <w:marBottom w:val="0"/>
      <w:divBdr>
        <w:top w:val="none" w:sz="0" w:space="0" w:color="auto"/>
        <w:left w:val="none" w:sz="0" w:space="0" w:color="auto"/>
        <w:bottom w:val="none" w:sz="0" w:space="0" w:color="auto"/>
        <w:right w:val="none" w:sz="0" w:space="0" w:color="auto"/>
      </w:divBdr>
    </w:div>
    <w:div w:id="401998053">
      <w:bodyDiv w:val="1"/>
      <w:marLeft w:val="0"/>
      <w:marRight w:val="0"/>
      <w:marTop w:val="0"/>
      <w:marBottom w:val="0"/>
      <w:divBdr>
        <w:top w:val="none" w:sz="0" w:space="0" w:color="auto"/>
        <w:left w:val="none" w:sz="0" w:space="0" w:color="auto"/>
        <w:bottom w:val="none" w:sz="0" w:space="0" w:color="auto"/>
        <w:right w:val="none" w:sz="0" w:space="0" w:color="auto"/>
      </w:divBdr>
    </w:div>
    <w:div w:id="603196454">
      <w:bodyDiv w:val="1"/>
      <w:marLeft w:val="0"/>
      <w:marRight w:val="0"/>
      <w:marTop w:val="0"/>
      <w:marBottom w:val="0"/>
      <w:divBdr>
        <w:top w:val="none" w:sz="0" w:space="0" w:color="auto"/>
        <w:left w:val="none" w:sz="0" w:space="0" w:color="auto"/>
        <w:bottom w:val="none" w:sz="0" w:space="0" w:color="auto"/>
        <w:right w:val="none" w:sz="0" w:space="0" w:color="auto"/>
      </w:divBdr>
    </w:div>
    <w:div w:id="672532238">
      <w:bodyDiv w:val="1"/>
      <w:marLeft w:val="0"/>
      <w:marRight w:val="0"/>
      <w:marTop w:val="0"/>
      <w:marBottom w:val="0"/>
      <w:divBdr>
        <w:top w:val="none" w:sz="0" w:space="0" w:color="auto"/>
        <w:left w:val="none" w:sz="0" w:space="0" w:color="auto"/>
        <w:bottom w:val="none" w:sz="0" w:space="0" w:color="auto"/>
        <w:right w:val="none" w:sz="0" w:space="0" w:color="auto"/>
      </w:divBdr>
    </w:div>
    <w:div w:id="856817999">
      <w:bodyDiv w:val="1"/>
      <w:marLeft w:val="0"/>
      <w:marRight w:val="0"/>
      <w:marTop w:val="0"/>
      <w:marBottom w:val="0"/>
      <w:divBdr>
        <w:top w:val="none" w:sz="0" w:space="0" w:color="auto"/>
        <w:left w:val="none" w:sz="0" w:space="0" w:color="auto"/>
        <w:bottom w:val="none" w:sz="0" w:space="0" w:color="auto"/>
        <w:right w:val="none" w:sz="0" w:space="0" w:color="auto"/>
      </w:divBdr>
      <w:divsChild>
        <w:div w:id="1360357798">
          <w:marLeft w:val="0"/>
          <w:marRight w:val="0"/>
          <w:marTop w:val="0"/>
          <w:marBottom w:val="0"/>
          <w:divBdr>
            <w:top w:val="none" w:sz="0" w:space="0" w:color="auto"/>
            <w:left w:val="none" w:sz="0" w:space="0" w:color="auto"/>
            <w:bottom w:val="none" w:sz="0" w:space="0" w:color="auto"/>
            <w:right w:val="none" w:sz="0" w:space="0" w:color="auto"/>
          </w:divBdr>
        </w:div>
      </w:divsChild>
    </w:div>
    <w:div w:id="1012301378">
      <w:bodyDiv w:val="1"/>
      <w:marLeft w:val="0"/>
      <w:marRight w:val="0"/>
      <w:marTop w:val="0"/>
      <w:marBottom w:val="0"/>
      <w:divBdr>
        <w:top w:val="none" w:sz="0" w:space="0" w:color="auto"/>
        <w:left w:val="none" w:sz="0" w:space="0" w:color="auto"/>
        <w:bottom w:val="none" w:sz="0" w:space="0" w:color="auto"/>
        <w:right w:val="none" w:sz="0" w:space="0" w:color="auto"/>
      </w:divBdr>
    </w:div>
    <w:div w:id="1032606512">
      <w:bodyDiv w:val="1"/>
      <w:marLeft w:val="0"/>
      <w:marRight w:val="0"/>
      <w:marTop w:val="0"/>
      <w:marBottom w:val="0"/>
      <w:divBdr>
        <w:top w:val="none" w:sz="0" w:space="0" w:color="auto"/>
        <w:left w:val="none" w:sz="0" w:space="0" w:color="auto"/>
        <w:bottom w:val="none" w:sz="0" w:space="0" w:color="auto"/>
        <w:right w:val="none" w:sz="0" w:space="0" w:color="auto"/>
      </w:divBdr>
    </w:div>
    <w:div w:id="1087385965">
      <w:bodyDiv w:val="1"/>
      <w:marLeft w:val="0"/>
      <w:marRight w:val="0"/>
      <w:marTop w:val="0"/>
      <w:marBottom w:val="0"/>
      <w:divBdr>
        <w:top w:val="none" w:sz="0" w:space="0" w:color="auto"/>
        <w:left w:val="none" w:sz="0" w:space="0" w:color="auto"/>
        <w:bottom w:val="none" w:sz="0" w:space="0" w:color="auto"/>
        <w:right w:val="none" w:sz="0" w:space="0" w:color="auto"/>
      </w:divBdr>
    </w:div>
    <w:div w:id="1123573336">
      <w:bodyDiv w:val="1"/>
      <w:marLeft w:val="0"/>
      <w:marRight w:val="0"/>
      <w:marTop w:val="0"/>
      <w:marBottom w:val="0"/>
      <w:divBdr>
        <w:top w:val="none" w:sz="0" w:space="0" w:color="auto"/>
        <w:left w:val="none" w:sz="0" w:space="0" w:color="auto"/>
        <w:bottom w:val="none" w:sz="0" w:space="0" w:color="auto"/>
        <w:right w:val="none" w:sz="0" w:space="0" w:color="auto"/>
      </w:divBdr>
      <w:divsChild>
        <w:div w:id="924457064">
          <w:marLeft w:val="0"/>
          <w:marRight w:val="0"/>
          <w:marTop w:val="0"/>
          <w:marBottom w:val="0"/>
          <w:divBdr>
            <w:top w:val="none" w:sz="0" w:space="0" w:color="auto"/>
            <w:left w:val="none" w:sz="0" w:space="0" w:color="auto"/>
            <w:bottom w:val="none" w:sz="0" w:space="0" w:color="auto"/>
            <w:right w:val="none" w:sz="0" w:space="0" w:color="auto"/>
          </w:divBdr>
        </w:div>
        <w:div w:id="1609971381">
          <w:marLeft w:val="0"/>
          <w:marRight w:val="0"/>
          <w:marTop w:val="0"/>
          <w:marBottom w:val="0"/>
          <w:divBdr>
            <w:top w:val="none" w:sz="0" w:space="0" w:color="auto"/>
            <w:left w:val="none" w:sz="0" w:space="0" w:color="auto"/>
            <w:bottom w:val="none" w:sz="0" w:space="0" w:color="auto"/>
            <w:right w:val="none" w:sz="0" w:space="0" w:color="auto"/>
          </w:divBdr>
        </w:div>
      </w:divsChild>
    </w:div>
    <w:div w:id="1292905508">
      <w:bodyDiv w:val="1"/>
      <w:marLeft w:val="0"/>
      <w:marRight w:val="0"/>
      <w:marTop w:val="0"/>
      <w:marBottom w:val="0"/>
      <w:divBdr>
        <w:top w:val="none" w:sz="0" w:space="0" w:color="auto"/>
        <w:left w:val="none" w:sz="0" w:space="0" w:color="auto"/>
        <w:bottom w:val="none" w:sz="0" w:space="0" w:color="auto"/>
        <w:right w:val="none" w:sz="0" w:space="0" w:color="auto"/>
      </w:divBdr>
      <w:divsChild>
        <w:div w:id="298463496">
          <w:marLeft w:val="0"/>
          <w:marRight w:val="0"/>
          <w:marTop w:val="0"/>
          <w:marBottom w:val="0"/>
          <w:divBdr>
            <w:top w:val="none" w:sz="0" w:space="0" w:color="auto"/>
            <w:left w:val="none" w:sz="0" w:space="0" w:color="auto"/>
            <w:bottom w:val="none" w:sz="0" w:space="0" w:color="auto"/>
            <w:right w:val="none" w:sz="0" w:space="0" w:color="auto"/>
          </w:divBdr>
        </w:div>
        <w:div w:id="360086965">
          <w:marLeft w:val="0"/>
          <w:marRight w:val="0"/>
          <w:marTop w:val="0"/>
          <w:marBottom w:val="0"/>
          <w:divBdr>
            <w:top w:val="none" w:sz="0" w:space="0" w:color="auto"/>
            <w:left w:val="none" w:sz="0" w:space="0" w:color="auto"/>
            <w:bottom w:val="none" w:sz="0" w:space="0" w:color="auto"/>
            <w:right w:val="none" w:sz="0" w:space="0" w:color="auto"/>
          </w:divBdr>
        </w:div>
        <w:div w:id="596138082">
          <w:marLeft w:val="0"/>
          <w:marRight w:val="0"/>
          <w:marTop w:val="0"/>
          <w:marBottom w:val="0"/>
          <w:divBdr>
            <w:top w:val="none" w:sz="0" w:space="0" w:color="auto"/>
            <w:left w:val="none" w:sz="0" w:space="0" w:color="auto"/>
            <w:bottom w:val="none" w:sz="0" w:space="0" w:color="auto"/>
            <w:right w:val="none" w:sz="0" w:space="0" w:color="auto"/>
          </w:divBdr>
        </w:div>
      </w:divsChild>
    </w:div>
    <w:div w:id="1490442706">
      <w:bodyDiv w:val="1"/>
      <w:marLeft w:val="0"/>
      <w:marRight w:val="0"/>
      <w:marTop w:val="0"/>
      <w:marBottom w:val="0"/>
      <w:divBdr>
        <w:top w:val="none" w:sz="0" w:space="0" w:color="auto"/>
        <w:left w:val="none" w:sz="0" w:space="0" w:color="auto"/>
        <w:bottom w:val="none" w:sz="0" w:space="0" w:color="auto"/>
        <w:right w:val="none" w:sz="0" w:space="0" w:color="auto"/>
      </w:divBdr>
    </w:div>
    <w:div w:id="1697006113">
      <w:bodyDiv w:val="1"/>
      <w:marLeft w:val="0"/>
      <w:marRight w:val="0"/>
      <w:marTop w:val="0"/>
      <w:marBottom w:val="0"/>
      <w:divBdr>
        <w:top w:val="none" w:sz="0" w:space="0" w:color="auto"/>
        <w:left w:val="none" w:sz="0" w:space="0" w:color="auto"/>
        <w:bottom w:val="none" w:sz="0" w:space="0" w:color="auto"/>
        <w:right w:val="none" w:sz="0" w:space="0" w:color="auto"/>
      </w:divBdr>
    </w:div>
    <w:div w:id="1945726812">
      <w:bodyDiv w:val="1"/>
      <w:marLeft w:val="0"/>
      <w:marRight w:val="0"/>
      <w:marTop w:val="0"/>
      <w:marBottom w:val="0"/>
      <w:divBdr>
        <w:top w:val="none" w:sz="0" w:space="0" w:color="auto"/>
        <w:left w:val="none" w:sz="0" w:space="0" w:color="auto"/>
        <w:bottom w:val="none" w:sz="0" w:space="0" w:color="auto"/>
        <w:right w:val="none" w:sz="0" w:space="0" w:color="auto"/>
      </w:divBdr>
    </w:div>
    <w:div w:id="1979799750">
      <w:bodyDiv w:val="1"/>
      <w:marLeft w:val="0"/>
      <w:marRight w:val="0"/>
      <w:marTop w:val="0"/>
      <w:marBottom w:val="0"/>
      <w:divBdr>
        <w:top w:val="none" w:sz="0" w:space="0" w:color="auto"/>
        <w:left w:val="none" w:sz="0" w:space="0" w:color="auto"/>
        <w:bottom w:val="none" w:sz="0" w:space="0" w:color="auto"/>
        <w:right w:val="none" w:sz="0" w:space="0" w:color="auto"/>
      </w:divBdr>
    </w:div>
    <w:div w:id="21062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69FC7-B988-4326-AA6B-7B699C6E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1502</Words>
  <Characters>8266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Alejandro Briñez Olaya</dc:creator>
  <cp:keywords/>
  <dc:description/>
  <cp:lastModifiedBy>Liliana del Socorro Pérez Alarcon</cp:lastModifiedBy>
  <cp:revision>2</cp:revision>
  <cp:lastPrinted>2021-11-29T13:15:00Z</cp:lastPrinted>
  <dcterms:created xsi:type="dcterms:W3CDTF">2022-01-14T20:32:00Z</dcterms:created>
  <dcterms:modified xsi:type="dcterms:W3CDTF">2022-01-14T20:32:00Z</dcterms:modified>
</cp:coreProperties>
</file>