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E9CA" w14:textId="1D73A5C7" w:rsidR="00271FC3" w:rsidRPr="00563F6F" w:rsidRDefault="00271FC3" w:rsidP="00F475AD">
      <w:pPr>
        <w:contextualSpacing/>
        <w:jc w:val="both"/>
        <w:rPr>
          <w:rFonts w:ascii="Arial" w:hAnsi="Arial" w:cs="Arial"/>
        </w:rPr>
      </w:pPr>
      <w:bookmarkStart w:id="0" w:name="_Hlk52464506"/>
      <w:r w:rsidRPr="00563F6F">
        <w:rPr>
          <w:rFonts w:ascii="Arial" w:hAnsi="Arial" w:cs="Arial"/>
        </w:rPr>
        <w:t>Bogotá, D. C.</w:t>
      </w:r>
    </w:p>
    <w:p w14:paraId="4309A9D5" w14:textId="77777777" w:rsidR="00CB1722" w:rsidRPr="00563F6F" w:rsidRDefault="00CB1722" w:rsidP="00F475AD">
      <w:pPr>
        <w:contextualSpacing/>
        <w:jc w:val="both"/>
        <w:rPr>
          <w:rFonts w:ascii="Arial" w:hAnsi="Arial" w:cs="Arial"/>
        </w:rPr>
      </w:pPr>
    </w:p>
    <w:p w14:paraId="10435443" w14:textId="26F7587E" w:rsidR="00271FC3" w:rsidRPr="00563F6F" w:rsidRDefault="00271FC3" w:rsidP="00F475AD">
      <w:pPr>
        <w:contextualSpacing/>
        <w:jc w:val="both"/>
        <w:rPr>
          <w:rFonts w:ascii="Arial" w:hAnsi="Arial" w:cs="Arial"/>
        </w:rPr>
      </w:pPr>
      <w:r w:rsidRPr="00563F6F">
        <w:rPr>
          <w:rFonts w:ascii="Arial" w:hAnsi="Arial" w:cs="Arial"/>
        </w:rPr>
        <w:t>Doctor</w:t>
      </w:r>
    </w:p>
    <w:p w14:paraId="34F31117" w14:textId="7A0AA5F9" w:rsidR="00405C5B" w:rsidRPr="00563F6F" w:rsidRDefault="002258E0" w:rsidP="00F475AD">
      <w:pPr>
        <w:contextualSpacing/>
        <w:jc w:val="both"/>
        <w:rPr>
          <w:rFonts w:ascii="Arial" w:hAnsi="Arial" w:cs="Arial"/>
          <w:b/>
          <w:bCs/>
        </w:rPr>
      </w:pPr>
      <w:r w:rsidRPr="00563F6F">
        <w:rPr>
          <w:rFonts w:ascii="Arial" w:hAnsi="Arial" w:cs="Arial"/>
        </w:rPr>
        <w:t xml:space="preserve">Miguel Antonio Jimenez Portela </w:t>
      </w:r>
    </w:p>
    <w:p w14:paraId="759E352F" w14:textId="3BEA340B" w:rsidR="00405C5B" w:rsidRPr="00563F6F" w:rsidRDefault="00405C5B" w:rsidP="00F475AD">
      <w:pPr>
        <w:contextualSpacing/>
        <w:jc w:val="both"/>
        <w:rPr>
          <w:rFonts w:ascii="Arial" w:hAnsi="Arial" w:cs="Arial"/>
          <w:bCs/>
        </w:rPr>
      </w:pPr>
      <w:r w:rsidRPr="00563F6F">
        <w:rPr>
          <w:rFonts w:ascii="Arial" w:hAnsi="Arial" w:cs="Arial"/>
        </w:rPr>
        <w:t>Subdirector Financier</w:t>
      </w:r>
      <w:r w:rsidR="002258E0" w:rsidRPr="00563F6F">
        <w:rPr>
          <w:rFonts w:ascii="Arial" w:hAnsi="Arial" w:cs="Arial"/>
        </w:rPr>
        <w:t xml:space="preserve">o </w:t>
      </w:r>
      <w:r w:rsidRPr="00563F6F">
        <w:rPr>
          <w:rFonts w:ascii="Arial" w:hAnsi="Arial" w:cs="Arial"/>
          <w:bCs/>
        </w:rPr>
        <w:t xml:space="preserve"> </w:t>
      </w:r>
    </w:p>
    <w:p w14:paraId="4567332A" w14:textId="0A295197" w:rsidR="00271FC3" w:rsidRPr="00563F6F" w:rsidRDefault="00271FC3" w:rsidP="00F475AD">
      <w:pPr>
        <w:contextualSpacing/>
        <w:jc w:val="both"/>
        <w:rPr>
          <w:rFonts w:ascii="Arial" w:hAnsi="Arial" w:cs="Arial"/>
          <w:bCs/>
        </w:rPr>
      </w:pPr>
      <w:r w:rsidRPr="00563F6F">
        <w:rPr>
          <w:rFonts w:ascii="Arial" w:hAnsi="Arial" w:cs="Arial"/>
          <w:bCs/>
        </w:rPr>
        <w:t>Caja de la Vivienda Popular</w:t>
      </w:r>
    </w:p>
    <w:p w14:paraId="6E2BB650" w14:textId="12E3C248" w:rsidR="00D65D42" w:rsidRPr="00563F6F" w:rsidRDefault="00D65D42" w:rsidP="00F475AD">
      <w:pPr>
        <w:contextualSpacing/>
        <w:jc w:val="both"/>
        <w:rPr>
          <w:rFonts w:ascii="Arial" w:hAnsi="Arial" w:cs="Arial"/>
          <w:shd w:val="clear" w:color="auto" w:fill="FFFFFF"/>
        </w:rPr>
      </w:pPr>
      <w:proofErr w:type="spellStart"/>
      <w:r w:rsidRPr="00563F6F">
        <w:rPr>
          <w:rFonts w:ascii="Arial" w:hAnsi="Arial" w:cs="Arial"/>
          <w:shd w:val="clear" w:color="auto" w:fill="FFFFFF"/>
        </w:rPr>
        <w:t>Cra</w:t>
      </w:r>
      <w:proofErr w:type="spellEnd"/>
      <w:r w:rsidRPr="00563F6F">
        <w:rPr>
          <w:rFonts w:ascii="Arial" w:hAnsi="Arial" w:cs="Arial"/>
          <w:shd w:val="clear" w:color="auto" w:fill="FFFFFF"/>
        </w:rPr>
        <w:t>. 13 # 54-13</w:t>
      </w:r>
    </w:p>
    <w:p w14:paraId="46A0F469" w14:textId="6DE0D681" w:rsidR="006F6294" w:rsidRPr="00563F6F" w:rsidRDefault="001E236F" w:rsidP="00F475AD">
      <w:pPr>
        <w:contextualSpacing/>
        <w:jc w:val="both"/>
        <w:rPr>
          <w:rFonts w:ascii="Arial" w:hAnsi="Arial" w:cs="Arial"/>
        </w:rPr>
      </w:pPr>
      <w:hyperlink r:id="rId8" w:history="1">
        <w:r w:rsidR="006F6294" w:rsidRPr="00563F6F">
          <w:rPr>
            <w:rStyle w:val="Hipervnculo"/>
            <w:rFonts w:ascii="Arial" w:hAnsi="Arial" w:cs="Arial"/>
            <w:color w:val="auto"/>
            <w:sz w:val="21"/>
            <w:szCs w:val="21"/>
            <w:u w:val="none"/>
            <w:shd w:val="clear" w:color="auto" w:fill="FFFFFF"/>
          </w:rPr>
          <w:t>Te</w:t>
        </w:r>
      </w:hyperlink>
      <w:r w:rsidR="006F6294" w:rsidRPr="00563F6F">
        <w:rPr>
          <w:rStyle w:val="grkhzd"/>
          <w:rFonts w:ascii="Arial" w:hAnsi="Arial" w:cs="Arial"/>
          <w:sz w:val="21"/>
          <w:szCs w:val="21"/>
          <w:shd w:val="clear" w:color="auto" w:fill="FFFFFF"/>
        </w:rPr>
        <w:t>léfono: </w:t>
      </w:r>
      <w:hyperlink r:id="rId9" w:history="1">
        <w:r w:rsidR="006F6294" w:rsidRPr="00563F6F">
          <w:rPr>
            <w:rStyle w:val="Hipervnculo"/>
            <w:rFonts w:ascii="Arial" w:hAnsi="Arial" w:cs="Arial"/>
            <w:color w:val="auto"/>
            <w:sz w:val="21"/>
            <w:szCs w:val="21"/>
            <w:u w:val="none"/>
            <w:shd w:val="clear" w:color="auto" w:fill="FFFFFF"/>
          </w:rPr>
          <w:t>(601) 3494520</w:t>
        </w:r>
      </w:hyperlink>
    </w:p>
    <w:p w14:paraId="4E5999A9" w14:textId="551BFFB7" w:rsidR="00405C5B" w:rsidRPr="00563F6F" w:rsidRDefault="001E236F" w:rsidP="00F475AD">
      <w:pPr>
        <w:rPr>
          <w:rFonts w:ascii="Arial" w:hAnsi="Arial" w:cs="Arial"/>
          <w:u w:val="single" w:color="000000"/>
        </w:rPr>
      </w:pPr>
      <w:hyperlink r:id="rId10" w:history="1">
        <w:r w:rsidR="002258E0" w:rsidRPr="00563F6F">
          <w:rPr>
            <w:rStyle w:val="Hipervnculo"/>
            <w:rFonts w:ascii="Arial" w:hAnsi="Arial" w:cs="Arial"/>
            <w:color w:val="auto"/>
          </w:rPr>
          <w:t>mjimenezp@cajaviviendapopular.gov.co</w:t>
        </w:r>
      </w:hyperlink>
    </w:p>
    <w:p w14:paraId="0636757B" w14:textId="16B58FC8" w:rsidR="00271FC3" w:rsidRPr="00563F6F" w:rsidRDefault="00271FC3" w:rsidP="00F475AD">
      <w:pPr>
        <w:rPr>
          <w:rFonts w:ascii="Arial" w:hAnsi="Arial" w:cs="Arial"/>
          <w:bCs/>
        </w:rPr>
      </w:pPr>
      <w:r w:rsidRPr="00563F6F">
        <w:rPr>
          <w:rFonts w:ascii="Arial" w:hAnsi="Arial" w:cs="Arial"/>
          <w:bCs/>
        </w:rPr>
        <w:t>Bogotá</w:t>
      </w:r>
    </w:p>
    <w:p w14:paraId="5762250A" w14:textId="77777777" w:rsidR="005A32C2" w:rsidRPr="00563F6F" w:rsidRDefault="005A32C2" w:rsidP="00F475AD">
      <w:pPr>
        <w:contextualSpacing/>
        <w:jc w:val="center"/>
        <w:rPr>
          <w:rFonts w:ascii="Arial" w:hAnsi="Arial" w:cs="Arial"/>
          <w:b/>
        </w:rPr>
      </w:pPr>
    </w:p>
    <w:p w14:paraId="724595D2" w14:textId="5B7CA210" w:rsidR="00271FC3" w:rsidRPr="00563F6F" w:rsidRDefault="00271FC3" w:rsidP="00F475AD">
      <w:pPr>
        <w:contextualSpacing/>
        <w:jc w:val="center"/>
        <w:rPr>
          <w:rFonts w:ascii="Arial" w:hAnsi="Arial" w:cs="Arial"/>
          <w:b/>
        </w:rPr>
      </w:pPr>
      <w:r w:rsidRPr="00563F6F">
        <w:rPr>
          <w:rFonts w:ascii="Arial" w:hAnsi="Arial" w:cs="Arial"/>
          <w:b/>
        </w:rPr>
        <w:t>CONCEPTO</w:t>
      </w:r>
    </w:p>
    <w:p w14:paraId="72918495" w14:textId="77777777" w:rsidR="00271FC3" w:rsidRPr="00563F6F" w:rsidRDefault="00271FC3" w:rsidP="00F475AD">
      <w:pPr>
        <w:contextualSpacing/>
        <w:jc w:val="both"/>
        <w:rPr>
          <w:rFonts w:ascii="Arial" w:hAnsi="Arial" w:cs="Arial"/>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087"/>
      </w:tblGrid>
      <w:tr w:rsidR="00563F6F" w:rsidRPr="00563F6F" w14:paraId="25A1225D" w14:textId="77777777" w:rsidTr="002302CA">
        <w:trPr>
          <w:trHeight w:val="272"/>
        </w:trPr>
        <w:tc>
          <w:tcPr>
            <w:tcW w:w="1872" w:type="dxa"/>
            <w:shd w:val="clear" w:color="auto" w:fill="auto"/>
            <w:vAlign w:val="center"/>
          </w:tcPr>
          <w:p w14:paraId="53984C87" w14:textId="77777777" w:rsidR="00271FC3" w:rsidRPr="00563F6F" w:rsidRDefault="00271FC3" w:rsidP="00F475AD">
            <w:pPr>
              <w:contextualSpacing/>
              <w:jc w:val="both"/>
              <w:rPr>
                <w:rFonts w:ascii="Arial" w:hAnsi="Arial" w:cs="Arial"/>
                <w:sz w:val="20"/>
                <w:szCs w:val="20"/>
                <w:lang w:val="es-ES"/>
              </w:rPr>
            </w:pPr>
            <w:r w:rsidRPr="00563F6F">
              <w:rPr>
                <w:rFonts w:ascii="Arial" w:hAnsi="Arial" w:cs="Arial"/>
                <w:sz w:val="20"/>
                <w:szCs w:val="20"/>
                <w:lang w:val="es-ES"/>
              </w:rPr>
              <w:t>Referencia</w:t>
            </w:r>
          </w:p>
        </w:tc>
        <w:tc>
          <w:tcPr>
            <w:tcW w:w="7087" w:type="dxa"/>
            <w:shd w:val="clear" w:color="auto" w:fill="auto"/>
            <w:vAlign w:val="center"/>
          </w:tcPr>
          <w:p w14:paraId="14BCAF63" w14:textId="514F39F9" w:rsidR="00271FC3" w:rsidRPr="00563F6F" w:rsidRDefault="00F140B5" w:rsidP="00F475AD">
            <w:pPr>
              <w:contextualSpacing/>
              <w:jc w:val="both"/>
              <w:rPr>
                <w:rFonts w:ascii="Arial" w:hAnsi="Arial" w:cs="Arial"/>
                <w:sz w:val="20"/>
                <w:szCs w:val="20"/>
                <w:lang w:val="es-ES"/>
              </w:rPr>
            </w:pPr>
            <w:r w:rsidRPr="00563F6F">
              <w:rPr>
                <w:rFonts w:ascii="Arial" w:hAnsi="Arial" w:cs="Arial"/>
                <w:sz w:val="20"/>
                <w:szCs w:val="20"/>
              </w:rPr>
              <w:t>2021ER1479530</w:t>
            </w:r>
            <w:r w:rsidR="002258E0" w:rsidRPr="00563F6F">
              <w:rPr>
                <w:rFonts w:ascii="Arial" w:hAnsi="Arial" w:cs="Arial"/>
                <w:sz w:val="20"/>
                <w:szCs w:val="20"/>
              </w:rPr>
              <w:t xml:space="preserve"> </w:t>
            </w:r>
            <w:r w:rsidR="00A32510" w:rsidRPr="00563F6F">
              <w:rPr>
                <w:rFonts w:ascii="Arial" w:hAnsi="Arial" w:cs="Arial"/>
                <w:sz w:val="20"/>
                <w:szCs w:val="20"/>
              </w:rPr>
              <w:t xml:space="preserve">O1 </w:t>
            </w:r>
            <w:r w:rsidR="002258E0" w:rsidRPr="00563F6F">
              <w:rPr>
                <w:rFonts w:ascii="Arial" w:hAnsi="Arial" w:cs="Arial"/>
                <w:sz w:val="20"/>
                <w:szCs w:val="20"/>
              </w:rPr>
              <w:t xml:space="preserve"> </w:t>
            </w:r>
            <w:r w:rsidR="00A32510" w:rsidRPr="00563F6F">
              <w:rPr>
                <w:rFonts w:ascii="Arial" w:hAnsi="Arial" w:cs="Arial"/>
                <w:sz w:val="20"/>
                <w:szCs w:val="20"/>
              </w:rPr>
              <w:t xml:space="preserve"> 2021ER236077 O1</w:t>
            </w:r>
          </w:p>
        </w:tc>
      </w:tr>
      <w:tr w:rsidR="00563F6F" w:rsidRPr="00563F6F" w14:paraId="323AD1D4" w14:textId="77777777" w:rsidTr="002302CA">
        <w:tc>
          <w:tcPr>
            <w:tcW w:w="1872" w:type="dxa"/>
            <w:shd w:val="clear" w:color="auto" w:fill="auto"/>
            <w:vAlign w:val="center"/>
          </w:tcPr>
          <w:p w14:paraId="31B00282" w14:textId="77777777" w:rsidR="00271FC3" w:rsidRPr="00563F6F" w:rsidRDefault="00271FC3" w:rsidP="00F475AD">
            <w:pPr>
              <w:contextualSpacing/>
              <w:jc w:val="both"/>
              <w:rPr>
                <w:rFonts w:ascii="Arial" w:hAnsi="Arial" w:cs="Arial"/>
                <w:sz w:val="20"/>
                <w:szCs w:val="20"/>
                <w:lang w:val="es-ES"/>
              </w:rPr>
            </w:pPr>
            <w:r w:rsidRPr="00563F6F">
              <w:rPr>
                <w:rFonts w:ascii="Arial" w:hAnsi="Arial" w:cs="Arial"/>
                <w:sz w:val="20"/>
                <w:szCs w:val="20"/>
                <w:lang w:val="es-ES"/>
              </w:rPr>
              <w:t>Descriptor general</w:t>
            </w:r>
          </w:p>
        </w:tc>
        <w:tc>
          <w:tcPr>
            <w:tcW w:w="7087" w:type="dxa"/>
            <w:shd w:val="clear" w:color="auto" w:fill="auto"/>
            <w:vAlign w:val="center"/>
          </w:tcPr>
          <w:p w14:paraId="485CFBF5" w14:textId="77E60E89" w:rsidR="00271FC3" w:rsidRPr="00563F6F" w:rsidRDefault="00F140B5" w:rsidP="00F475AD">
            <w:pPr>
              <w:contextualSpacing/>
              <w:jc w:val="both"/>
              <w:rPr>
                <w:rFonts w:ascii="Arial" w:hAnsi="Arial" w:cs="Arial"/>
                <w:sz w:val="20"/>
                <w:szCs w:val="20"/>
                <w:lang w:val="es-ES"/>
              </w:rPr>
            </w:pPr>
            <w:r w:rsidRPr="00563F6F">
              <w:rPr>
                <w:rFonts w:ascii="Arial" w:hAnsi="Arial" w:cs="Arial"/>
                <w:sz w:val="20"/>
                <w:szCs w:val="20"/>
                <w:lang w:val="es-ES"/>
              </w:rPr>
              <w:t>Impuestos</w:t>
            </w:r>
          </w:p>
        </w:tc>
      </w:tr>
      <w:tr w:rsidR="00563F6F" w:rsidRPr="00563F6F" w14:paraId="2344BE9A" w14:textId="77777777" w:rsidTr="002302CA">
        <w:trPr>
          <w:trHeight w:val="469"/>
        </w:trPr>
        <w:tc>
          <w:tcPr>
            <w:tcW w:w="1872" w:type="dxa"/>
            <w:shd w:val="clear" w:color="auto" w:fill="auto"/>
            <w:vAlign w:val="center"/>
          </w:tcPr>
          <w:p w14:paraId="1590741B" w14:textId="77777777" w:rsidR="00271FC3" w:rsidRPr="00563F6F" w:rsidRDefault="00271FC3" w:rsidP="00F475AD">
            <w:pPr>
              <w:contextualSpacing/>
              <w:jc w:val="both"/>
              <w:rPr>
                <w:rFonts w:ascii="Arial" w:hAnsi="Arial" w:cs="Arial"/>
                <w:sz w:val="20"/>
                <w:szCs w:val="20"/>
                <w:lang w:val="es-ES"/>
              </w:rPr>
            </w:pPr>
            <w:r w:rsidRPr="00563F6F">
              <w:rPr>
                <w:rFonts w:ascii="Arial" w:hAnsi="Arial" w:cs="Arial"/>
                <w:sz w:val="20"/>
                <w:szCs w:val="20"/>
                <w:lang w:val="es-ES"/>
              </w:rPr>
              <w:t>Descriptores especiales</w:t>
            </w:r>
          </w:p>
        </w:tc>
        <w:tc>
          <w:tcPr>
            <w:tcW w:w="7087" w:type="dxa"/>
            <w:shd w:val="clear" w:color="auto" w:fill="auto"/>
            <w:vAlign w:val="center"/>
          </w:tcPr>
          <w:p w14:paraId="1A34C06D" w14:textId="22B2F35D" w:rsidR="00D56C86" w:rsidRPr="00563F6F" w:rsidRDefault="00F140B5" w:rsidP="00F475AD">
            <w:pPr>
              <w:contextualSpacing/>
              <w:jc w:val="both"/>
              <w:rPr>
                <w:rFonts w:ascii="Arial" w:hAnsi="Arial" w:cs="Arial"/>
                <w:sz w:val="20"/>
                <w:szCs w:val="20"/>
              </w:rPr>
            </w:pPr>
            <w:bookmarkStart w:id="1" w:name="_Hlk92585459"/>
            <w:r w:rsidRPr="00563F6F">
              <w:rPr>
                <w:rFonts w:ascii="Arial" w:hAnsi="Arial" w:cs="Arial"/>
                <w:sz w:val="20"/>
                <w:szCs w:val="20"/>
                <w:lang w:val="es-ES"/>
              </w:rPr>
              <w:t xml:space="preserve">Contribución Especial </w:t>
            </w:r>
            <w:r w:rsidR="008633E9" w:rsidRPr="00563F6F">
              <w:rPr>
                <w:rFonts w:ascii="Arial" w:hAnsi="Arial" w:cs="Arial"/>
                <w:sz w:val="20"/>
                <w:szCs w:val="20"/>
                <w:lang w:val="es-ES"/>
              </w:rPr>
              <w:t xml:space="preserve">de los </w:t>
            </w:r>
            <w:r w:rsidRPr="00563F6F">
              <w:rPr>
                <w:rFonts w:ascii="Arial" w:hAnsi="Arial" w:cs="Arial"/>
                <w:sz w:val="20"/>
                <w:szCs w:val="20"/>
                <w:lang w:val="es-ES"/>
              </w:rPr>
              <w:t>contrato</w:t>
            </w:r>
            <w:r w:rsidR="00E74552" w:rsidRPr="00563F6F">
              <w:rPr>
                <w:rFonts w:ascii="Arial" w:hAnsi="Arial" w:cs="Arial"/>
                <w:sz w:val="20"/>
                <w:szCs w:val="20"/>
                <w:lang w:val="es-ES"/>
              </w:rPr>
              <w:t>s</w:t>
            </w:r>
            <w:r w:rsidRPr="00563F6F">
              <w:rPr>
                <w:rFonts w:ascii="Arial" w:hAnsi="Arial" w:cs="Arial"/>
                <w:sz w:val="20"/>
                <w:szCs w:val="20"/>
                <w:lang w:val="es-ES"/>
              </w:rPr>
              <w:t xml:space="preserve"> de obra pública</w:t>
            </w:r>
            <w:r w:rsidR="00A32510" w:rsidRPr="00563F6F">
              <w:rPr>
                <w:rFonts w:ascii="Arial" w:hAnsi="Arial" w:cs="Arial"/>
                <w:sz w:val="20"/>
                <w:szCs w:val="20"/>
                <w:lang w:val="es-ES"/>
              </w:rPr>
              <w:t>. Causación en anticipos</w:t>
            </w:r>
          </w:p>
          <w:bookmarkEnd w:id="1"/>
          <w:p w14:paraId="0DC6EB7C" w14:textId="3ACF8E3A" w:rsidR="00271FC3" w:rsidRPr="00563F6F" w:rsidRDefault="00271FC3" w:rsidP="00F475AD">
            <w:pPr>
              <w:contextualSpacing/>
              <w:jc w:val="both"/>
              <w:rPr>
                <w:rFonts w:ascii="Arial" w:hAnsi="Arial" w:cs="Arial"/>
                <w:sz w:val="20"/>
                <w:szCs w:val="20"/>
                <w:lang w:val="es-ES"/>
              </w:rPr>
            </w:pPr>
          </w:p>
        </w:tc>
      </w:tr>
      <w:tr w:rsidR="00563F6F" w:rsidRPr="00563F6F" w14:paraId="480B1ABF" w14:textId="77777777" w:rsidTr="002302CA">
        <w:trPr>
          <w:trHeight w:val="2668"/>
        </w:trPr>
        <w:tc>
          <w:tcPr>
            <w:tcW w:w="1872" w:type="dxa"/>
            <w:shd w:val="clear" w:color="auto" w:fill="auto"/>
            <w:vAlign w:val="center"/>
          </w:tcPr>
          <w:p w14:paraId="1F50E985" w14:textId="77777777" w:rsidR="00271FC3" w:rsidRPr="00563F6F" w:rsidRDefault="00271FC3" w:rsidP="00F475AD">
            <w:pPr>
              <w:contextualSpacing/>
              <w:jc w:val="both"/>
              <w:rPr>
                <w:rFonts w:ascii="Arial" w:hAnsi="Arial" w:cs="Arial"/>
                <w:sz w:val="20"/>
                <w:szCs w:val="20"/>
                <w:lang w:val="es-ES"/>
              </w:rPr>
            </w:pPr>
            <w:r w:rsidRPr="00563F6F">
              <w:rPr>
                <w:rFonts w:ascii="Arial" w:hAnsi="Arial" w:cs="Arial"/>
                <w:sz w:val="20"/>
                <w:szCs w:val="20"/>
                <w:lang w:val="es-ES"/>
              </w:rPr>
              <w:t>Problema jurídico</w:t>
            </w:r>
          </w:p>
        </w:tc>
        <w:tc>
          <w:tcPr>
            <w:tcW w:w="7087" w:type="dxa"/>
            <w:shd w:val="clear" w:color="auto" w:fill="auto"/>
            <w:vAlign w:val="center"/>
          </w:tcPr>
          <w:p w14:paraId="6B25391A" w14:textId="58DBD2F5" w:rsidR="00BA0654" w:rsidRPr="00563F6F" w:rsidRDefault="00503A10" w:rsidP="00497212">
            <w:pPr>
              <w:ind w:right="174" w:firstLine="30"/>
              <w:jc w:val="both"/>
              <w:rPr>
                <w:rFonts w:ascii="Arial" w:hAnsi="Arial" w:cs="Arial"/>
                <w:sz w:val="20"/>
                <w:szCs w:val="20"/>
              </w:rPr>
            </w:pPr>
            <w:bookmarkStart w:id="2" w:name="_Hlk82515320"/>
            <w:r w:rsidRPr="00563F6F">
              <w:rPr>
                <w:rFonts w:ascii="Arial" w:hAnsi="Arial" w:cs="Arial"/>
                <w:sz w:val="20"/>
                <w:szCs w:val="20"/>
              </w:rPr>
              <w:t xml:space="preserve">¿Es procedente el descuento por concepto de </w:t>
            </w:r>
            <w:r w:rsidR="008B76E2" w:rsidRPr="00563F6F">
              <w:rPr>
                <w:rFonts w:ascii="Arial" w:hAnsi="Arial" w:cs="Arial"/>
                <w:sz w:val="20"/>
                <w:szCs w:val="20"/>
              </w:rPr>
              <w:t xml:space="preserve">la </w:t>
            </w:r>
            <w:r w:rsidRPr="00563F6F">
              <w:rPr>
                <w:rFonts w:ascii="Arial" w:hAnsi="Arial" w:cs="Arial"/>
                <w:sz w:val="20"/>
                <w:szCs w:val="20"/>
              </w:rPr>
              <w:t xml:space="preserve">Contribución Especial de </w:t>
            </w:r>
            <w:r w:rsidR="0098530E" w:rsidRPr="00563F6F">
              <w:rPr>
                <w:rFonts w:ascii="Arial" w:hAnsi="Arial" w:cs="Arial"/>
                <w:sz w:val="20"/>
                <w:szCs w:val="20"/>
              </w:rPr>
              <w:t xml:space="preserve">los contratos de obra pública </w:t>
            </w:r>
            <w:r w:rsidRPr="00563F6F">
              <w:rPr>
                <w:rFonts w:ascii="Arial" w:hAnsi="Arial" w:cs="Arial"/>
                <w:sz w:val="20"/>
                <w:szCs w:val="20"/>
              </w:rPr>
              <w:t xml:space="preserve"> practicado por la Caja de la Vivienda Popular al anticipo otorgado y pagado mediante Orden de Operación No.</w:t>
            </w:r>
            <w:r w:rsidR="00BA0654" w:rsidRPr="00563F6F">
              <w:rPr>
                <w:rFonts w:ascii="Arial" w:hAnsi="Arial" w:cs="Arial"/>
                <w:sz w:val="20"/>
                <w:szCs w:val="20"/>
              </w:rPr>
              <w:t xml:space="preserve"> 8533 al contratista constructor UNIÓN</w:t>
            </w:r>
            <w:r w:rsidR="00184B7A" w:rsidRPr="00563F6F">
              <w:rPr>
                <w:rFonts w:ascii="Arial" w:hAnsi="Arial" w:cs="Arial"/>
                <w:sz w:val="20"/>
                <w:szCs w:val="20"/>
              </w:rPr>
              <w:t xml:space="preserve"> </w:t>
            </w:r>
            <w:r w:rsidR="00BA0654" w:rsidRPr="00563F6F">
              <w:rPr>
                <w:rFonts w:ascii="Arial" w:hAnsi="Arial" w:cs="Arial"/>
                <w:sz w:val="20"/>
                <w:szCs w:val="20"/>
              </w:rPr>
              <w:t>TEMPORAL VIAL CU identificado con el NIT: 901.486.650-1 en el marco del contrato de obra No. 416-2021?</w:t>
            </w:r>
          </w:p>
          <w:p w14:paraId="7CA7AFAA" w14:textId="623A1E5B" w:rsidR="00271FC3" w:rsidRPr="00563F6F" w:rsidRDefault="00BA0654" w:rsidP="00497212">
            <w:pPr>
              <w:ind w:right="174" w:firstLine="30"/>
              <w:jc w:val="both"/>
              <w:rPr>
                <w:rFonts w:ascii="Arial" w:hAnsi="Arial" w:cs="Arial"/>
                <w:i/>
                <w:sz w:val="20"/>
                <w:szCs w:val="20"/>
                <w:highlight w:val="yellow"/>
                <w:lang w:val="es-ES"/>
              </w:rPr>
            </w:pPr>
            <w:r w:rsidRPr="00563F6F">
              <w:rPr>
                <w:rFonts w:ascii="Arial" w:hAnsi="Arial" w:cs="Arial"/>
                <w:sz w:val="20"/>
                <w:szCs w:val="20"/>
              </w:rPr>
              <w:t xml:space="preserve">En el evento que la anterior respuesta sea negativa, ¿Cuál es el procedimiento a realizar por parte de la Caja de la Vivienda Popular con el fin de reintegrar los recursos al contratista constructor UNIÓN TEMPORAL VIAL CU, toda vez que los dineros se consignan a la Dirección Distrital De Tesorería de la </w:t>
            </w:r>
            <w:proofErr w:type="gramStart"/>
            <w:r w:rsidRPr="00563F6F">
              <w:rPr>
                <w:rFonts w:ascii="Arial" w:hAnsi="Arial" w:cs="Arial"/>
                <w:sz w:val="20"/>
                <w:szCs w:val="20"/>
              </w:rPr>
              <w:t>Secretaria</w:t>
            </w:r>
            <w:proofErr w:type="gramEnd"/>
            <w:r w:rsidRPr="00563F6F">
              <w:rPr>
                <w:rFonts w:ascii="Arial" w:hAnsi="Arial" w:cs="Arial"/>
                <w:sz w:val="20"/>
                <w:szCs w:val="20"/>
              </w:rPr>
              <w:t xml:space="preserve"> Distrital de Hacienda, según lo estipulado en la Resolución No. SDH-000059 de fecha 04 de abril de 2019?</w:t>
            </w:r>
            <w:bookmarkEnd w:id="2"/>
          </w:p>
        </w:tc>
      </w:tr>
      <w:tr w:rsidR="00563F6F" w:rsidRPr="00563F6F" w14:paraId="4CC91660" w14:textId="77777777" w:rsidTr="002302CA">
        <w:trPr>
          <w:trHeight w:val="849"/>
        </w:trPr>
        <w:tc>
          <w:tcPr>
            <w:tcW w:w="1872" w:type="dxa"/>
            <w:shd w:val="clear" w:color="auto" w:fill="auto"/>
            <w:vAlign w:val="center"/>
          </w:tcPr>
          <w:p w14:paraId="6D0DF351" w14:textId="77777777" w:rsidR="00271FC3" w:rsidRPr="00563F6F" w:rsidRDefault="00271FC3" w:rsidP="00F475AD">
            <w:pPr>
              <w:contextualSpacing/>
              <w:jc w:val="both"/>
              <w:rPr>
                <w:rFonts w:ascii="Arial" w:hAnsi="Arial" w:cs="Arial"/>
                <w:sz w:val="20"/>
                <w:szCs w:val="20"/>
                <w:lang w:val="es-ES"/>
              </w:rPr>
            </w:pPr>
            <w:r w:rsidRPr="00563F6F">
              <w:rPr>
                <w:rFonts w:ascii="Arial" w:hAnsi="Arial" w:cs="Arial"/>
                <w:sz w:val="20"/>
                <w:szCs w:val="20"/>
                <w:lang w:val="es-ES"/>
              </w:rPr>
              <w:t>Fuentes formales</w:t>
            </w:r>
          </w:p>
        </w:tc>
        <w:tc>
          <w:tcPr>
            <w:tcW w:w="7087" w:type="dxa"/>
            <w:shd w:val="clear" w:color="auto" w:fill="auto"/>
            <w:vAlign w:val="center"/>
          </w:tcPr>
          <w:p w14:paraId="3F9BF9E4" w14:textId="4FF1B5B4" w:rsidR="00941D8D" w:rsidRPr="00563F6F" w:rsidRDefault="00F140B5" w:rsidP="00F475AD">
            <w:pPr>
              <w:contextualSpacing/>
              <w:jc w:val="both"/>
              <w:rPr>
                <w:rFonts w:ascii="Arial" w:hAnsi="Arial" w:cs="Arial"/>
                <w:sz w:val="20"/>
                <w:szCs w:val="20"/>
                <w:shd w:val="clear" w:color="auto" w:fill="FFFFFF"/>
                <w:lang w:val="es-ES"/>
              </w:rPr>
            </w:pPr>
            <w:r w:rsidRPr="00563F6F">
              <w:rPr>
                <w:rFonts w:ascii="Arial" w:hAnsi="Arial" w:cs="Arial"/>
                <w:sz w:val="20"/>
                <w:szCs w:val="20"/>
                <w:shd w:val="clear" w:color="auto" w:fill="FFFFFF"/>
                <w:lang w:val="es-ES"/>
              </w:rPr>
              <w:t xml:space="preserve">Ley 418 de 1997, Ley 1106 de 2006, </w:t>
            </w:r>
            <w:r w:rsidRPr="00563F6F">
              <w:rPr>
                <w:rFonts w:ascii="Arial" w:hAnsi="Arial" w:cs="Arial"/>
                <w:sz w:val="20"/>
                <w:szCs w:val="20"/>
                <w:lang w:val="es-ES"/>
              </w:rPr>
              <w:t xml:space="preserve">Ley 1738 de 2014; </w:t>
            </w:r>
          </w:p>
          <w:p w14:paraId="695EA00E" w14:textId="77777777" w:rsidR="00941D8D" w:rsidRPr="00563F6F" w:rsidRDefault="00941D8D" w:rsidP="00F475AD">
            <w:pPr>
              <w:contextualSpacing/>
              <w:jc w:val="both"/>
              <w:rPr>
                <w:rFonts w:ascii="Arial" w:hAnsi="Arial" w:cs="Arial"/>
                <w:sz w:val="20"/>
                <w:szCs w:val="20"/>
                <w:shd w:val="clear" w:color="auto" w:fill="FFFFFF"/>
                <w:lang w:val="es-ES"/>
              </w:rPr>
            </w:pPr>
          </w:p>
          <w:p w14:paraId="3A14D8AC" w14:textId="7F653992" w:rsidR="00271FC3" w:rsidRPr="00563F6F" w:rsidRDefault="00F140B5" w:rsidP="00F475AD">
            <w:pPr>
              <w:contextualSpacing/>
              <w:jc w:val="both"/>
              <w:rPr>
                <w:rFonts w:ascii="Arial" w:hAnsi="Arial" w:cs="Arial"/>
                <w:sz w:val="20"/>
                <w:szCs w:val="20"/>
                <w:highlight w:val="yellow"/>
              </w:rPr>
            </w:pPr>
            <w:r w:rsidRPr="00563F6F">
              <w:rPr>
                <w:rFonts w:ascii="Arial" w:hAnsi="Arial" w:cs="Arial"/>
                <w:sz w:val="20"/>
                <w:szCs w:val="20"/>
              </w:rPr>
              <w:t>Concepto 2021EE032175 de marzo 12 de 2021, expedido por la Dirección Jurídica de la Secretaría Distrital de Hacienda</w:t>
            </w:r>
          </w:p>
        </w:tc>
      </w:tr>
    </w:tbl>
    <w:p w14:paraId="596C3D2F" w14:textId="77777777" w:rsidR="00271FC3" w:rsidRPr="00563F6F" w:rsidRDefault="00271FC3" w:rsidP="00F475AD">
      <w:pPr>
        <w:contextualSpacing/>
        <w:jc w:val="both"/>
        <w:rPr>
          <w:rFonts w:ascii="Arial" w:hAnsi="Arial" w:cs="Arial"/>
          <w:b/>
          <w:bCs/>
        </w:rPr>
      </w:pPr>
    </w:p>
    <w:p w14:paraId="28742BE3" w14:textId="77777777" w:rsidR="00271FC3" w:rsidRPr="00563F6F" w:rsidRDefault="00271FC3" w:rsidP="00F475AD">
      <w:pPr>
        <w:contextualSpacing/>
        <w:jc w:val="both"/>
        <w:rPr>
          <w:rFonts w:ascii="Arial" w:hAnsi="Arial" w:cs="Arial"/>
          <w:bCs/>
          <w:lang w:val="es-ES"/>
        </w:rPr>
      </w:pPr>
      <w:r w:rsidRPr="00563F6F">
        <w:rPr>
          <w:rFonts w:ascii="Arial" w:hAnsi="Arial" w:cs="Arial"/>
          <w:b/>
          <w:bCs/>
          <w:lang w:val="es-ES"/>
        </w:rPr>
        <w:t>IDENTIFICACIÓN DE LA CONSULTA</w:t>
      </w:r>
    </w:p>
    <w:p w14:paraId="0BC467F4" w14:textId="77777777" w:rsidR="00271FC3" w:rsidRPr="00563F6F" w:rsidRDefault="00271FC3" w:rsidP="00F475AD">
      <w:pPr>
        <w:contextualSpacing/>
        <w:jc w:val="both"/>
        <w:rPr>
          <w:rFonts w:ascii="Arial" w:hAnsi="Arial" w:cs="Arial"/>
          <w:bCs/>
          <w:lang w:val="es-ES"/>
        </w:rPr>
      </w:pPr>
    </w:p>
    <w:p w14:paraId="12812243" w14:textId="06D49AFA" w:rsidR="00B21661" w:rsidRPr="00563F6F" w:rsidRDefault="00271FC3" w:rsidP="00F475AD">
      <w:pPr>
        <w:autoSpaceDE w:val="0"/>
        <w:autoSpaceDN w:val="0"/>
        <w:adjustRightInd w:val="0"/>
        <w:jc w:val="both"/>
        <w:rPr>
          <w:rFonts w:ascii="Arial" w:hAnsi="Arial" w:cs="Arial"/>
        </w:rPr>
      </w:pPr>
      <w:r w:rsidRPr="00563F6F">
        <w:rPr>
          <w:rFonts w:ascii="Arial" w:hAnsi="Arial" w:cs="Arial"/>
        </w:rPr>
        <w:t xml:space="preserve">La </w:t>
      </w:r>
      <w:r w:rsidR="00B21661" w:rsidRPr="00563F6F">
        <w:rPr>
          <w:rFonts w:ascii="Arial" w:hAnsi="Arial" w:cs="Arial"/>
        </w:rPr>
        <w:t>Caja de la Vivienda Popular plantea</w:t>
      </w:r>
      <w:r w:rsidR="002A4BBC" w:rsidRPr="00563F6F">
        <w:rPr>
          <w:rFonts w:ascii="Arial" w:hAnsi="Arial" w:cs="Arial"/>
        </w:rPr>
        <w:t xml:space="preserve"> unas preguntas </w:t>
      </w:r>
      <w:r w:rsidR="009A30D4" w:rsidRPr="00563F6F">
        <w:rPr>
          <w:rFonts w:ascii="Arial" w:hAnsi="Arial" w:cs="Arial"/>
        </w:rPr>
        <w:t xml:space="preserve">relacionadas con el </w:t>
      </w:r>
      <w:r w:rsidR="00096D7E" w:rsidRPr="00563F6F">
        <w:rPr>
          <w:rFonts w:ascii="Arial" w:hAnsi="Arial" w:cs="Arial"/>
        </w:rPr>
        <w:t xml:space="preserve">descuento por Contribución Especial </w:t>
      </w:r>
      <w:r w:rsidR="0081142E" w:rsidRPr="00563F6F">
        <w:rPr>
          <w:rFonts w:ascii="Arial" w:hAnsi="Arial" w:cs="Arial"/>
        </w:rPr>
        <w:t>a los contratos de obra pública</w:t>
      </w:r>
      <w:r w:rsidR="00096D7E" w:rsidRPr="00563F6F">
        <w:rPr>
          <w:rFonts w:ascii="Arial" w:hAnsi="Arial" w:cs="Arial"/>
        </w:rPr>
        <w:t xml:space="preserve"> por anticipos realizados en el marco de un contrato de obra</w:t>
      </w:r>
      <w:r w:rsidR="007C2A75" w:rsidRPr="00563F6F">
        <w:rPr>
          <w:rFonts w:ascii="Arial" w:hAnsi="Arial" w:cs="Arial"/>
        </w:rPr>
        <w:t>, de la siguiente manera:</w:t>
      </w:r>
    </w:p>
    <w:p w14:paraId="1189B59B" w14:textId="77777777" w:rsidR="00B21661" w:rsidRPr="00563F6F" w:rsidRDefault="00B21661" w:rsidP="00F475AD">
      <w:pPr>
        <w:autoSpaceDE w:val="0"/>
        <w:autoSpaceDN w:val="0"/>
        <w:adjustRightInd w:val="0"/>
        <w:jc w:val="both"/>
        <w:rPr>
          <w:rFonts w:ascii="Arial" w:hAnsi="Arial" w:cs="Arial"/>
        </w:rPr>
      </w:pPr>
    </w:p>
    <w:p w14:paraId="7F66CA4B" w14:textId="6EF76CA1" w:rsidR="0059581D" w:rsidRPr="00563F6F" w:rsidRDefault="00503A10" w:rsidP="00F475AD">
      <w:pPr>
        <w:numPr>
          <w:ilvl w:val="0"/>
          <w:numId w:val="26"/>
        </w:numPr>
        <w:ind w:left="0"/>
        <w:jc w:val="both"/>
        <w:rPr>
          <w:rFonts w:ascii="Arial" w:hAnsi="Arial" w:cs="Arial"/>
        </w:rPr>
      </w:pPr>
      <w:r w:rsidRPr="00563F6F">
        <w:rPr>
          <w:rFonts w:ascii="Arial" w:hAnsi="Arial" w:cs="Arial"/>
        </w:rPr>
        <w:t xml:space="preserve">¿Es procedente el descuento por concepto de Contribución Especial de Fondo de Vigilancia </w:t>
      </w:r>
      <w:r w:rsidR="00A65BA2" w:rsidRPr="00563F6F">
        <w:rPr>
          <w:rFonts w:ascii="Arial" w:hAnsi="Arial" w:cs="Arial"/>
        </w:rPr>
        <w:t xml:space="preserve">(sic) </w:t>
      </w:r>
      <w:r w:rsidRPr="00563F6F">
        <w:rPr>
          <w:rFonts w:ascii="Arial" w:hAnsi="Arial" w:cs="Arial"/>
        </w:rPr>
        <w:t xml:space="preserve">practicado por la Caja de la Vivienda Popular al anticipo otorgado y pagado mediante Orden de Operación No. </w:t>
      </w:r>
      <w:r w:rsidR="0059581D" w:rsidRPr="00563F6F">
        <w:rPr>
          <w:rFonts w:ascii="Arial" w:hAnsi="Arial" w:cs="Arial"/>
        </w:rPr>
        <w:t>8533 al contratista constructor UNIÓN TEMPORAL VIAL CU identificado con el NIT: 901.486.650-1 en el marco del contrato de obra No. 416-2021?</w:t>
      </w:r>
    </w:p>
    <w:p w14:paraId="0F1B4A33" w14:textId="77777777" w:rsidR="00C35673" w:rsidRPr="00563F6F" w:rsidRDefault="00C35673" w:rsidP="00F475AD">
      <w:pPr>
        <w:jc w:val="both"/>
        <w:rPr>
          <w:rFonts w:ascii="Arial" w:hAnsi="Arial" w:cs="Arial"/>
        </w:rPr>
      </w:pPr>
    </w:p>
    <w:p w14:paraId="256B9303" w14:textId="1C1EC85C" w:rsidR="0059581D" w:rsidRPr="00563F6F" w:rsidRDefault="0059581D" w:rsidP="00F475AD">
      <w:pPr>
        <w:numPr>
          <w:ilvl w:val="0"/>
          <w:numId w:val="26"/>
        </w:numPr>
        <w:ind w:left="0"/>
        <w:jc w:val="both"/>
        <w:rPr>
          <w:rFonts w:ascii="Arial" w:hAnsi="Arial" w:cs="Arial"/>
        </w:rPr>
      </w:pPr>
      <w:r w:rsidRPr="00563F6F">
        <w:rPr>
          <w:rFonts w:ascii="Arial" w:hAnsi="Arial" w:cs="Arial"/>
        </w:rPr>
        <w:t xml:space="preserve">En el evento que la anterior respuesta sea negativa, </w:t>
      </w:r>
      <w:proofErr w:type="gramStart"/>
      <w:r w:rsidRPr="00563F6F">
        <w:rPr>
          <w:rFonts w:ascii="Arial" w:hAnsi="Arial" w:cs="Arial"/>
        </w:rPr>
        <w:t>¿Cuál es el procedimiento a</w:t>
      </w:r>
      <w:r w:rsidR="00BB4E3C">
        <w:rPr>
          <w:rFonts w:ascii="Arial" w:hAnsi="Arial" w:cs="Arial"/>
        </w:rPr>
        <w:t xml:space="preserve"> </w:t>
      </w:r>
      <w:r w:rsidRPr="00563F6F">
        <w:rPr>
          <w:rFonts w:ascii="Arial" w:hAnsi="Arial" w:cs="Arial"/>
        </w:rPr>
        <w:t xml:space="preserve">realizar por parte de la Caja de la Vivienda Popular con el fin de reintegrar los </w:t>
      </w:r>
      <w:r w:rsidRPr="00563F6F">
        <w:rPr>
          <w:rFonts w:ascii="Arial" w:hAnsi="Arial" w:cs="Arial"/>
        </w:rPr>
        <w:lastRenderedPageBreak/>
        <w:t>recursos al contratista constructor UNIÓN TEMPORAL VIAL CU, toda vez que, los dineros se consignan a la Dirección Distrital De Tesorería de la Secretar</w:t>
      </w:r>
      <w:r w:rsidR="003F3AB7">
        <w:rPr>
          <w:rFonts w:ascii="Arial" w:hAnsi="Arial" w:cs="Arial"/>
        </w:rPr>
        <w:t>í</w:t>
      </w:r>
      <w:r w:rsidRPr="00563F6F">
        <w:rPr>
          <w:rFonts w:ascii="Arial" w:hAnsi="Arial" w:cs="Arial"/>
        </w:rPr>
        <w:t>a Distrital de Hacienda, según lo estipulado en la Resolución No.</w:t>
      </w:r>
      <w:proofErr w:type="gramEnd"/>
      <w:r w:rsidRPr="00563F6F">
        <w:rPr>
          <w:rFonts w:ascii="Arial" w:hAnsi="Arial" w:cs="Arial"/>
        </w:rPr>
        <w:t xml:space="preserve"> SDH-000059 de fecha 04 de abril de 2019?</w:t>
      </w:r>
    </w:p>
    <w:p w14:paraId="0829A5A2" w14:textId="77777777" w:rsidR="00C35673" w:rsidRPr="00563F6F" w:rsidRDefault="00C35673" w:rsidP="00F475AD">
      <w:pPr>
        <w:pStyle w:val="Prrafodelista"/>
        <w:rPr>
          <w:rFonts w:ascii="Arial" w:hAnsi="Arial" w:cs="Arial"/>
        </w:rPr>
      </w:pPr>
    </w:p>
    <w:p w14:paraId="0AFBD8CC" w14:textId="37235D82" w:rsidR="00891CD1" w:rsidRPr="00563F6F" w:rsidRDefault="00891CD1" w:rsidP="00F475AD">
      <w:pPr>
        <w:contextualSpacing/>
        <w:jc w:val="both"/>
        <w:rPr>
          <w:rFonts w:ascii="Arial" w:hAnsi="Arial" w:cs="Arial"/>
          <w:b/>
          <w:bCs/>
        </w:rPr>
      </w:pPr>
      <w:r w:rsidRPr="00563F6F">
        <w:rPr>
          <w:rFonts w:ascii="Arial" w:hAnsi="Arial" w:cs="Arial"/>
          <w:b/>
          <w:bCs/>
        </w:rPr>
        <w:t>CONSIDERACIONES</w:t>
      </w:r>
    </w:p>
    <w:p w14:paraId="0247DE9D" w14:textId="1E03745C" w:rsidR="00043670" w:rsidRPr="00563F6F" w:rsidRDefault="00043670" w:rsidP="00F475AD">
      <w:pPr>
        <w:jc w:val="both"/>
        <w:rPr>
          <w:rFonts w:ascii="Arial" w:hAnsi="Arial" w:cs="Arial"/>
        </w:rPr>
      </w:pPr>
    </w:p>
    <w:p w14:paraId="0B094F4F" w14:textId="27F2B85C" w:rsidR="001E229D" w:rsidRPr="00563F6F" w:rsidRDefault="003310F7" w:rsidP="00F475AD">
      <w:pPr>
        <w:shd w:val="clear" w:color="auto" w:fill="FFFFFF"/>
        <w:jc w:val="both"/>
        <w:rPr>
          <w:rFonts w:ascii="Arial" w:hAnsi="Arial" w:cs="Arial"/>
          <w:lang w:eastAsia="es-CO"/>
        </w:rPr>
      </w:pPr>
      <w:r w:rsidRPr="00563F6F">
        <w:rPr>
          <w:rFonts w:ascii="Arial" w:hAnsi="Arial" w:cs="Arial"/>
          <w:lang w:val="es-ES" w:eastAsia="es-CO"/>
        </w:rPr>
        <w:t>E</w:t>
      </w:r>
      <w:r w:rsidR="001E229D" w:rsidRPr="00563F6F">
        <w:rPr>
          <w:rFonts w:ascii="Arial" w:hAnsi="Arial" w:cs="Arial"/>
          <w:lang w:eastAsia="es-CO"/>
        </w:rPr>
        <w:t xml:space="preserve">s función de la Dirección Jurídica de la Secretaría Distrital de Hacienda establecer las directrices para fomentar la unidad doctrinal en la aplicación e interpretación de normas relacionadas con la </w:t>
      </w:r>
      <w:r w:rsidR="00B22EF3" w:rsidRPr="00563F6F">
        <w:rPr>
          <w:rFonts w:ascii="Arial" w:hAnsi="Arial" w:cs="Arial"/>
          <w:lang w:eastAsia="es-CO"/>
        </w:rPr>
        <w:t>h</w:t>
      </w:r>
      <w:r w:rsidR="001E229D" w:rsidRPr="00563F6F">
        <w:rPr>
          <w:rFonts w:ascii="Arial" w:hAnsi="Arial" w:cs="Arial"/>
          <w:lang w:eastAsia="es-CO"/>
        </w:rPr>
        <w:t xml:space="preserve">acienda </w:t>
      </w:r>
      <w:r w:rsidR="00B22EF3" w:rsidRPr="00563F6F">
        <w:rPr>
          <w:rFonts w:ascii="Arial" w:hAnsi="Arial" w:cs="Arial"/>
          <w:lang w:eastAsia="es-CO"/>
        </w:rPr>
        <w:t>p</w:t>
      </w:r>
      <w:r w:rsidR="001E229D" w:rsidRPr="00563F6F">
        <w:rPr>
          <w:rFonts w:ascii="Arial" w:hAnsi="Arial" w:cs="Arial"/>
          <w:lang w:eastAsia="es-CO"/>
        </w:rPr>
        <w:t>ública</w:t>
      </w:r>
      <w:r w:rsidR="00B22EF3" w:rsidRPr="00563F6F">
        <w:rPr>
          <w:rFonts w:ascii="Arial" w:hAnsi="Arial" w:cs="Arial"/>
          <w:lang w:eastAsia="es-CO"/>
        </w:rPr>
        <w:t xml:space="preserve"> distrital</w:t>
      </w:r>
      <w:r w:rsidR="001E229D" w:rsidRPr="00563F6F">
        <w:rPr>
          <w:rFonts w:ascii="Arial" w:hAnsi="Arial" w:cs="Arial"/>
          <w:lang w:eastAsia="es-CO"/>
        </w:rPr>
        <w:t>, teniendo en cuenta el ordenamiento jurídico vigente, de conformidad con lo establecido en los artículos 69 y 72 del Decreto Distrital 601 de 2014.</w:t>
      </w:r>
    </w:p>
    <w:p w14:paraId="7F343E98" w14:textId="77777777" w:rsidR="001E229D" w:rsidRPr="00563F6F" w:rsidRDefault="001E229D" w:rsidP="00F475AD">
      <w:pPr>
        <w:shd w:val="clear" w:color="auto" w:fill="FFFFFF"/>
        <w:jc w:val="both"/>
        <w:rPr>
          <w:rFonts w:ascii="Arial" w:hAnsi="Arial" w:cs="Arial"/>
          <w:lang w:eastAsia="es-CO"/>
        </w:rPr>
      </w:pPr>
      <w:r w:rsidRPr="00563F6F">
        <w:rPr>
          <w:rFonts w:ascii="Arial" w:hAnsi="Arial" w:cs="Arial"/>
          <w:lang w:eastAsia="es-CO"/>
        </w:rPr>
        <w:t> </w:t>
      </w:r>
    </w:p>
    <w:p w14:paraId="12525691" w14:textId="307D0BBD" w:rsidR="001E229D" w:rsidRPr="00563F6F" w:rsidRDefault="001E229D" w:rsidP="00F475AD">
      <w:pPr>
        <w:shd w:val="clear" w:color="auto" w:fill="FFFFFF"/>
        <w:jc w:val="both"/>
        <w:rPr>
          <w:rFonts w:ascii="Arial" w:hAnsi="Arial" w:cs="Arial"/>
          <w:lang w:eastAsia="es-CO"/>
        </w:rPr>
      </w:pPr>
      <w:r w:rsidRPr="00563F6F">
        <w:rPr>
          <w:rFonts w:ascii="Arial" w:hAnsi="Arial" w:cs="Arial"/>
          <w:lang w:eastAsia="es-CO"/>
        </w:rPr>
        <w:t xml:space="preserve">Por esta razón, le corresponde absolver consultas, emitir conceptos jurídicos y prestar asistencia jurídica en asuntos </w:t>
      </w:r>
      <w:r w:rsidR="00C07C1C" w:rsidRPr="00563F6F">
        <w:rPr>
          <w:rFonts w:ascii="Arial" w:hAnsi="Arial" w:cs="Arial"/>
          <w:lang w:eastAsia="es-CO"/>
        </w:rPr>
        <w:t xml:space="preserve">hacendarios </w:t>
      </w:r>
      <w:r w:rsidRPr="00563F6F">
        <w:rPr>
          <w:rFonts w:ascii="Arial" w:hAnsi="Arial" w:cs="Arial"/>
          <w:lang w:eastAsia="es-CO"/>
        </w:rPr>
        <w:t>relacionados con temas de tesorería, presupuesto, tributos, contabilidad, crédito público, cobro, contratación, entre otros</w:t>
      </w:r>
      <w:r w:rsidR="008758B6" w:rsidRPr="00563F6F">
        <w:rPr>
          <w:rFonts w:ascii="Arial" w:hAnsi="Arial" w:cs="Arial"/>
          <w:lang w:eastAsia="es-CO"/>
        </w:rPr>
        <w:t>, en el ámbito distrital</w:t>
      </w:r>
      <w:r w:rsidRPr="00563F6F">
        <w:rPr>
          <w:rFonts w:ascii="Arial" w:hAnsi="Arial" w:cs="Arial"/>
          <w:lang w:eastAsia="es-CO"/>
        </w:rPr>
        <w:t xml:space="preserve">. Por lo anterior, esta Dirección es competente para pronunciarse sobre el objeto de </w:t>
      </w:r>
      <w:r w:rsidR="008758B6" w:rsidRPr="00563F6F">
        <w:rPr>
          <w:rFonts w:ascii="Arial" w:hAnsi="Arial" w:cs="Arial"/>
          <w:lang w:eastAsia="es-CO"/>
        </w:rPr>
        <w:t xml:space="preserve">la </w:t>
      </w:r>
      <w:r w:rsidRPr="00563F6F">
        <w:rPr>
          <w:rFonts w:ascii="Arial" w:hAnsi="Arial" w:cs="Arial"/>
          <w:lang w:eastAsia="es-CO"/>
        </w:rPr>
        <w:t>consulta.</w:t>
      </w:r>
    </w:p>
    <w:p w14:paraId="05939D61" w14:textId="52042192" w:rsidR="001E229D" w:rsidRPr="00563F6F" w:rsidRDefault="001E229D" w:rsidP="00F475AD">
      <w:pPr>
        <w:jc w:val="both"/>
        <w:rPr>
          <w:rFonts w:ascii="Arial" w:hAnsi="Arial" w:cs="Arial"/>
        </w:rPr>
      </w:pPr>
    </w:p>
    <w:p w14:paraId="52B461DE" w14:textId="076E5F54" w:rsidR="006A464A" w:rsidRPr="00563F6F" w:rsidRDefault="00CB1762" w:rsidP="00F475AD">
      <w:pPr>
        <w:jc w:val="both"/>
        <w:rPr>
          <w:rFonts w:ascii="Arial" w:hAnsi="Arial" w:cs="Arial"/>
        </w:rPr>
      </w:pPr>
      <w:r w:rsidRPr="00563F6F">
        <w:rPr>
          <w:rFonts w:ascii="Arial" w:hAnsi="Arial" w:cs="Arial"/>
        </w:rPr>
        <w:t xml:space="preserve">Con el propósito de resolver los interrogantes planteados, se </w:t>
      </w:r>
      <w:r w:rsidR="004A7AB9" w:rsidRPr="00563F6F">
        <w:rPr>
          <w:rFonts w:ascii="Arial" w:hAnsi="Arial" w:cs="Arial"/>
        </w:rPr>
        <w:t>analizará</w:t>
      </w:r>
      <w:r w:rsidR="00C35673" w:rsidRPr="00563F6F">
        <w:rPr>
          <w:rFonts w:ascii="Arial" w:hAnsi="Arial" w:cs="Arial"/>
        </w:rPr>
        <w:t xml:space="preserve"> lo siguiente</w:t>
      </w:r>
      <w:r w:rsidR="004A7AB9" w:rsidRPr="00563F6F">
        <w:rPr>
          <w:rFonts w:ascii="Arial" w:hAnsi="Arial" w:cs="Arial"/>
        </w:rPr>
        <w:t xml:space="preserve">: </w:t>
      </w:r>
    </w:p>
    <w:p w14:paraId="3E430084" w14:textId="2B7791C2" w:rsidR="00C35673" w:rsidRPr="00563F6F" w:rsidRDefault="00C35673" w:rsidP="00F475AD">
      <w:pPr>
        <w:jc w:val="both"/>
        <w:rPr>
          <w:rFonts w:ascii="Arial" w:hAnsi="Arial" w:cs="Arial"/>
        </w:rPr>
      </w:pPr>
    </w:p>
    <w:p w14:paraId="44B75A6E" w14:textId="63F925DF" w:rsidR="00C35673" w:rsidRPr="00563F6F" w:rsidRDefault="00C35673" w:rsidP="002302CA">
      <w:pPr>
        <w:pStyle w:val="Prrafodelista"/>
        <w:numPr>
          <w:ilvl w:val="0"/>
          <w:numId w:val="27"/>
        </w:numPr>
        <w:ind w:left="284" w:hanging="284"/>
        <w:jc w:val="both"/>
        <w:rPr>
          <w:rFonts w:ascii="Arial" w:hAnsi="Arial" w:cs="Arial"/>
          <w:bCs/>
        </w:rPr>
      </w:pPr>
      <w:r w:rsidRPr="00563F6F">
        <w:rPr>
          <w:rFonts w:ascii="Arial" w:hAnsi="Arial" w:cs="Arial"/>
          <w:bCs/>
        </w:rPr>
        <w:t xml:space="preserve">Si conforme a la normatividad aplicable, es </w:t>
      </w:r>
      <w:r w:rsidRPr="00563F6F">
        <w:rPr>
          <w:rFonts w:ascii="Arial" w:hAnsi="Arial" w:cs="Arial"/>
        </w:rPr>
        <w:t xml:space="preserve">procedente el descuento por concepto de Contribución Especial </w:t>
      </w:r>
      <w:r w:rsidR="00D83565" w:rsidRPr="00563F6F">
        <w:rPr>
          <w:rFonts w:ascii="Arial" w:hAnsi="Arial" w:cs="Arial"/>
        </w:rPr>
        <w:t>a los contratos de obra pública</w:t>
      </w:r>
      <w:r w:rsidRPr="00563F6F">
        <w:rPr>
          <w:rFonts w:ascii="Arial" w:hAnsi="Arial" w:cs="Arial"/>
        </w:rPr>
        <w:t xml:space="preserve"> practicado por la Caja de la Vivienda Popular al anticipo otorgado. </w:t>
      </w:r>
    </w:p>
    <w:p w14:paraId="485D23AF" w14:textId="77777777" w:rsidR="00C35673" w:rsidRPr="00563F6F" w:rsidRDefault="00C35673" w:rsidP="002302CA">
      <w:pPr>
        <w:ind w:left="284" w:hanging="284"/>
        <w:jc w:val="both"/>
        <w:rPr>
          <w:rFonts w:ascii="Arial" w:hAnsi="Arial" w:cs="Arial"/>
          <w:bCs/>
        </w:rPr>
      </w:pPr>
    </w:p>
    <w:p w14:paraId="5B840976" w14:textId="682EBB8B" w:rsidR="00C35673" w:rsidRPr="00563F6F" w:rsidRDefault="00C35673" w:rsidP="002302CA">
      <w:pPr>
        <w:pStyle w:val="Prrafodelista"/>
        <w:numPr>
          <w:ilvl w:val="0"/>
          <w:numId w:val="27"/>
        </w:numPr>
        <w:ind w:left="284" w:hanging="284"/>
        <w:jc w:val="both"/>
        <w:rPr>
          <w:rFonts w:ascii="Arial" w:hAnsi="Arial" w:cs="Arial"/>
          <w:bCs/>
        </w:rPr>
      </w:pPr>
      <w:r w:rsidRPr="00563F6F">
        <w:rPr>
          <w:rFonts w:ascii="Arial" w:hAnsi="Arial" w:cs="Arial"/>
          <w:bCs/>
        </w:rPr>
        <w:t xml:space="preserve">Respecto al segundo planteamiento, se estudiará según la </w:t>
      </w:r>
      <w:r w:rsidRPr="00563F6F">
        <w:rPr>
          <w:rFonts w:ascii="Arial" w:hAnsi="Arial" w:cs="Arial"/>
        </w:rPr>
        <w:t xml:space="preserve">respuesta dada a la anterior pregunta, el procedimiento a realizar por la Caja de la Vivienda Popular para reintegrar los recursos al contratista </w:t>
      </w:r>
      <w:r w:rsidRPr="00563F6F">
        <w:rPr>
          <w:rFonts w:ascii="Arial" w:hAnsi="Arial" w:cs="Arial"/>
          <w:bCs/>
        </w:rPr>
        <w:t xml:space="preserve">conforme a la </w:t>
      </w:r>
      <w:r w:rsidR="003F3AB7" w:rsidRPr="00563F6F">
        <w:rPr>
          <w:rFonts w:ascii="Arial" w:hAnsi="Arial" w:cs="Arial"/>
          <w:bCs/>
        </w:rPr>
        <w:t>normativ</w:t>
      </w:r>
      <w:r w:rsidR="003F3AB7">
        <w:rPr>
          <w:rFonts w:ascii="Arial" w:hAnsi="Arial" w:cs="Arial"/>
          <w:bCs/>
        </w:rPr>
        <w:t>a</w:t>
      </w:r>
      <w:r w:rsidR="003F3AB7" w:rsidRPr="00563F6F">
        <w:rPr>
          <w:rFonts w:ascii="Arial" w:hAnsi="Arial" w:cs="Arial"/>
          <w:bCs/>
        </w:rPr>
        <w:t xml:space="preserve"> </w:t>
      </w:r>
      <w:r w:rsidRPr="00563F6F">
        <w:rPr>
          <w:rFonts w:ascii="Arial" w:hAnsi="Arial" w:cs="Arial"/>
          <w:bCs/>
        </w:rPr>
        <w:t>vigente.</w:t>
      </w:r>
    </w:p>
    <w:p w14:paraId="0388D1FF" w14:textId="0C29CB5A" w:rsidR="00CB1762" w:rsidRPr="00563F6F" w:rsidRDefault="00332B44" w:rsidP="00F475AD">
      <w:pPr>
        <w:jc w:val="both"/>
        <w:rPr>
          <w:rFonts w:ascii="Arial" w:hAnsi="Arial" w:cs="Arial"/>
        </w:rPr>
      </w:pPr>
      <w:r w:rsidRPr="00563F6F">
        <w:rPr>
          <w:rFonts w:ascii="Arial" w:hAnsi="Arial" w:cs="Arial"/>
        </w:rPr>
        <w:t xml:space="preserve"> </w:t>
      </w:r>
    </w:p>
    <w:p w14:paraId="7EF373EC" w14:textId="3CF0C713" w:rsidR="00022E17" w:rsidRPr="00563F6F" w:rsidRDefault="006E4DAB" w:rsidP="00497212">
      <w:pPr>
        <w:pStyle w:val="Prrafodelista"/>
        <w:numPr>
          <w:ilvl w:val="0"/>
          <w:numId w:val="28"/>
        </w:numPr>
        <w:ind w:left="567" w:hanging="567"/>
        <w:jc w:val="both"/>
        <w:rPr>
          <w:rFonts w:ascii="Arial" w:hAnsi="Arial" w:cs="Arial"/>
          <w:b/>
          <w:bCs/>
        </w:rPr>
      </w:pPr>
      <w:r w:rsidRPr="00563F6F">
        <w:rPr>
          <w:rFonts w:ascii="Arial" w:hAnsi="Arial" w:cs="Arial"/>
          <w:b/>
          <w:bCs/>
        </w:rPr>
        <w:t xml:space="preserve">Descuento por concepto de Contribución Especial </w:t>
      </w:r>
      <w:r w:rsidR="00F13E69" w:rsidRPr="00563F6F">
        <w:rPr>
          <w:rFonts w:ascii="Arial" w:hAnsi="Arial" w:cs="Arial"/>
          <w:b/>
          <w:bCs/>
        </w:rPr>
        <w:t>a los contratos de obra pública</w:t>
      </w:r>
    </w:p>
    <w:p w14:paraId="394B8935" w14:textId="77777777" w:rsidR="006E4DAB" w:rsidRPr="00563F6F" w:rsidRDefault="006E4DAB" w:rsidP="00F475AD">
      <w:pPr>
        <w:jc w:val="both"/>
        <w:rPr>
          <w:rFonts w:ascii="Arial" w:hAnsi="Arial" w:cs="Arial"/>
        </w:rPr>
      </w:pPr>
    </w:p>
    <w:p w14:paraId="4A818351" w14:textId="22D5D400" w:rsidR="000C1AC3" w:rsidRDefault="000C1AC3" w:rsidP="000C1AC3">
      <w:pPr>
        <w:jc w:val="both"/>
        <w:rPr>
          <w:rFonts w:ascii="Arial" w:eastAsia="Courier New" w:hAnsi="Arial" w:cs="Arial"/>
        </w:rPr>
      </w:pPr>
      <w:r>
        <w:rPr>
          <w:rFonts w:ascii="Arial" w:hAnsi="Arial" w:cs="Arial"/>
        </w:rPr>
        <w:t>E</w:t>
      </w:r>
      <w:r w:rsidRPr="00563F6F">
        <w:rPr>
          <w:rFonts w:ascii="Arial" w:hAnsi="Arial" w:cs="Arial"/>
        </w:rPr>
        <w:t xml:space="preserve">n los antecedentes se hace referencia a que la interventoría del contrato de obra No. 416-021 manifestaba que el artículo 6 de la Ley 1106 de 2006 tenía que ser avalado en su vigencia cada cuatro años para poder aplicar esa contribución, concluyendo que esa contribución sólo aplicó desde la </w:t>
      </w:r>
      <w:r>
        <w:rPr>
          <w:rFonts w:ascii="Arial" w:hAnsi="Arial" w:cs="Arial"/>
        </w:rPr>
        <w:t>L</w:t>
      </w:r>
      <w:r w:rsidRPr="00563F6F">
        <w:rPr>
          <w:rFonts w:ascii="Arial" w:hAnsi="Arial" w:cs="Arial"/>
        </w:rPr>
        <w:t xml:space="preserve">ey 1421 del </w:t>
      </w:r>
      <w:r w:rsidRPr="00563F6F">
        <w:rPr>
          <w:rFonts w:ascii="Arial" w:eastAsia="Courier New" w:hAnsi="Arial" w:cs="Arial"/>
        </w:rPr>
        <w:t>2010 y hasta el 2014.</w:t>
      </w:r>
    </w:p>
    <w:p w14:paraId="3C3C93E7" w14:textId="77777777" w:rsidR="000C1AC3" w:rsidRPr="00563F6F" w:rsidRDefault="000C1AC3" w:rsidP="000C1AC3">
      <w:pPr>
        <w:jc w:val="both"/>
        <w:rPr>
          <w:rFonts w:ascii="Arial" w:eastAsia="Courier New" w:hAnsi="Arial" w:cs="Arial"/>
        </w:rPr>
      </w:pPr>
    </w:p>
    <w:p w14:paraId="452E341D" w14:textId="0032B9CE" w:rsidR="005F7456" w:rsidRPr="00563F6F" w:rsidRDefault="00C7307D" w:rsidP="00F475AD">
      <w:pPr>
        <w:shd w:val="clear" w:color="auto" w:fill="FFFFFF"/>
        <w:jc w:val="both"/>
        <w:textAlignment w:val="baseline"/>
        <w:rPr>
          <w:rFonts w:ascii="Arial" w:hAnsi="Arial" w:cs="Arial"/>
          <w:lang w:val="es-ES"/>
        </w:rPr>
      </w:pPr>
      <w:r w:rsidRPr="00563F6F">
        <w:rPr>
          <w:rFonts w:ascii="Arial" w:hAnsi="Arial" w:cs="Arial"/>
        </w:rPr>
        <w:t xml:space="preserve">En </w:t>
      </w:r>
      <w:r w:rsidR="008205C9" w:rsidRPr="00563F6F">
        <w:rPr>
          <w:rFonts w:ascii="Arial" w:hAnsi="Arial" w:cs="Arial"/>
        </w:rPr>
        <w:t>Concepto</w:t>
      </w:r>
      <w:r w:rsidR="0037495D" w:rsidRPr="00563F6F">
        <w:rPr>
          <w:rStyle w:val="Refdenotaalpie"/>
          <w:rFonts w:ascii="Arial" w:hAnsi="Arial" w:cs="Arial"/>
        </w:rPr>
        <w:footnoteReference w:id="1"/>
      </w:r>
      <w:r w:rsidR="008205C9" w:rsidRPr="00563F6F">
        <w:rPr>
          <w:rFonts w:ascii="Arial" w:hAnsi="Arial" w:cs="Arial"/>
        </w:rPr>
        <w:t xml:space="preserve"> emitido por esta Dirección</w:t>
      </w:r>
      <w:r w:rsidRPr="00563F6F">
        <w:rPr>
          <w:rFonts w:ascii="Arial" w:hAnsi="Arial" w:cs="Arial"/>
        </w:rPr>
        <w:t>,</w:t>
      </w:r>
      <w:r w:rsidR="008205C9" w:rsidRPr="00563F6F">
        <w:rPr>
          <w:rFonts w:ascii="Arial" w:hAnsi="Arial" w:cs="Arial"/>
        </w:rPr>
        <w:t xml:space="preserve"> se </w:t>
      </w:r>
      <w:r w:rsidR="00034015" w:rsidRPr="00563F6F">
        <w:rPr>
          <w:rFonts w:ascii="Arial" w:hAnsi="Arial" w:cs="Arial"/>
        </w:rPr>
        <w:t xml:space="preserve">señala </w:t>
      </w:r>
      <w:r w:rsidR="005F7456" w:rsidRPr="00563F6F">
        <w:rPr>
          <w:rFonts w:ascii="Arial" w:hAnsi="Arial" w:cs="Arial"/>
          <w:lang w:val="es-ES"/>
        </w:rPr>
        <w:t xml:space="preserve">que el artículo 8 de la Ley 1738 de 2014 otorgó vigencia permanente a la Contribución de los contratos de obra pública o concesión de obra pública y otras concesiones y a los Fondos de Seguridad y Convivencia Ciudadana de carácter territorial, establecida en la Ley 418 de 1997, </w:t>
      </w:r>
      <w:r w:rsidR="005F7456" w:rsidRPr="00563F6F">
        <w:rPr>
          <w:rFonts w:ascii="Arial" w:hAnsi="Arial" w:cs="Arial"/>
          <w:lang w:val="es-ES"/>
        </w:rPr>
        <w:lastRenderedPageBreak/>
        <w:t>prorrogada y modificada por las Leyes 548 de 1999, 782 de 2002, 1106 de 2006 y 1421 de 2010</w:t>
      </w:r>
      <w:r w:rsidR="00C55D28">
        <w:rPr>
          <w:rFonts w:ascii="Arial" w:hAnsi="Arial" w:cs="Arial"/>
          <w:lang w:val="es-ES"/>
        </w:rPr>
        <w:t>:</w:t>
      </w:r>
    </w:p>
    <w:p w14:paraId="257F1F58" w14:textId="77777777" w:rsidR="00B30C56" w:rsidRPr="00563F6F" w:rsidRDefault="00B30C56" w:rsidP="00497212">
      <w:pPr>
        <w:rPr>
          <w:lang w:eastAsia="es-CO"/>
        </w:rPr>
      </w:pPr>
    </w:p>
    <w:p w14:paraId="14049631" w14:textId="299335F3" w:rsidR="0065531E" w:rsidRPr="00563F6F" w:rsidRDefault="00FA1E4B" w:rsidP="00F475AD">
      <w:pPr>
        <w:pStyle w:val="NormalWeb"/>
        <w:spacing w:before="0" w:beforeAutospacing="0" w:after="0" w:afterAutospacing="0"/>
        <w:ind w:left="284" w:right="283"/>
        <w:jc w:val="both"/>
        <w:rPr>
          <w:rFonts w:ascii="Arial" w:hAnsi="Arial" w:cs="Arial"/>
          <w:i/>
          <w:iCs/>
          <w:sz w:val="22"/>
          <w:szCs w:val="22"/>
        </w:rPr>
      </w:pPr>
      <w:bookmarkStart w:id="3" w:name="8"/>
      <w:r w:rsidRPr="00563F6F">
        <w:rPr>
          <w:rFonts w:ascii="Arial" w:hAnsi="Arial" w:cs="Arial"/>
          <w:i/>
          <w:iCs/>
          <w:sz w:val="22"/>
          <w:szCs w:val="22"/>
        </w:rPr>
        <w:t>“</w:t>
      </w:r>
      <w:r w:rsidR="00C55D28" w:rsidRPr="00563F6F">
        <w:rPr>
          <w:rFonts w:ascii="Arial" w:hAnsi="Arial" w:cs="Arial"/>
          <w:i/>
          <w:iCs/>
          <w:sz w:val="22"/>
          <w:szCs w:val="22"/>
        </w:rPr>
        <w:t>Artículo 8o. De la vigencia y derogatoria de la ley</w:t>
      </w:r>
      <w:r w:rsidR="0065531E" w:rsidRPr="00563F6F">
        <w:rPr>
          <w:rFonts w:ascii="Arial" w:hAnsi="Arial" w:cs="Arial"/>
          <w:b/>
          <w:bCs/>
          <w:i/>
          <w:iCs/>
          <w:sz w:val="22"/>
          <w:szCs w:val="22"/>
        </w:rPr>
        <w:t>.</w:t>
      </w:r>
      <w:bookmarkEnd w:id="3"/>
      <w:r w:rsidR="0065531E" w:rsidRPr="00563F6F">
        <w:rPr>
          <w:rFonts w:ascii="Arial" w:hAnsi="Arial" w:cs="Arial"/>
          <w:i/>
          <w:iCs/>
          <w:sz w:val="22"/>
          <w:szCs w:val="22"/>
        </w:rPr>
        <w:t> La presente ley tiene una vigencia de cuatro (4) años a partir de la fecha de su promulgación y deroga las demás disposiciones que le sean contrarias y el penúltimo inciso del artículo </w:t>
      </w:r>
      <w:hyperlink r:id="rId11" w:anchor="6" w:history="1">
        <w:r w:rsidR="0065531E" w:rsidRPr="00563F6F">
          <w:rPr>
            <w:rStyle w:val="Hipervnculo"/>
            <w:rFonts w:ascii="Arial" w:hAnsi="Arial" w:cs="Arial"/>
            <w:i/>
            <w:iCs/>
            <w:color w:val="auto"/>
            <w:sz w:val="22"/>
            <w:szCs w:val="22"/>
          </w:rPr>
          <w:t>6</w:t>
        </w:r>
      </w:hyperlink>
      <w:r w:rsidR="0065531E" w:rsidRPr="00563F6F">
        <w:rPr>
          <w:rFonts w:ascii="Arial" w:hAnsi="Arial" w:cs="Arial"/>
          <w:i/>
          <w:iCs/>
          <w:sz w:val="22"/>
          <w:szCs w:val="22"/>
        </w:rPr>
        <w:t>o de la Ley 1106 de 2006.</w:t>
      </w:r>
    </w:p>
    <w:p w14:paraId="4794F3CF" w14:textId="77777777" w:rsidR="00B30C56" w:rsidRPr="00563F6F" w:rsidRDefault="00B30C56" w:rsidP="00497212">
      <w:pPr>
        <w:pStyle w:val="NormalWeb"/>
        <w:spacing w:before="0" w:beforeAutospacing="0" w:after="0" w:afterAutospacing="0"/>
        <w:ind w:left="284" w:right="283"/>
        <w:jc w:val="both"/>
        <w:rPr>
          <w:rFonts w:ascii="Arial" w:hAnsi="Arial" w:cs="Arial"/>
          <w:i/>
          <w:iCs/>
          <w:sz w:val="22"/>
          <w:szCs w:val="22"/>
        </w:rPr>
      </w:pPr>
    </w:p>
    <w:p w14:paraId="0F028D2D" w14:textId="35B8A38B" w:rsidR="0065531E" w:rsidRPr="00563F6F" w:rsidRDefault="0065531E" w:rsidP="00497212">
      <w:pPr>
        <w:pStyle w:val="NormalWeb"/>
        <w:spacing w:before="0" w:beforeAutospacing="0" w:after="0" w:afterAutospacing="0"/>
        <w:ind w:left="284" w:right="283"/>
        <w:jc w:val="both"/>
        <w:rPr>
          <w:rFonts w:ascii="Arial" w:hAnsi="Arial" w:cs="Arial"/>
          <w:i/>
          <w:iCs/>
          <w:sz w:val="22"/>
          <w:szCs w:val="22"/>
        </w:rPr>
      </w:pPr>
      <w:r w:rsidRPr="00563F6F">
        <w:rPr>
          <w:rStyle w:val="baj"/>
          <w:rFonts w:ascii="Arial" w:hAnsi="Arial" w:cs="Arial"/>
          <w:i/>
          <w:iCs/>
          <w:sz w:val="22"/>
          <w:szCs w:val="22"/>
        </w:rPr>
        <w:t>PARÁGRAFO.</w:t>
      </w:r>
      <w:r w:rsidRPr="00563F6F">
        <w:rPr>
          <w:rFonts w:ascii="Arial" w:hAnsi="Arial" w:cs="Arial"/>
          <w:i/>
          <w:iCs/>
          <w:sz w:val="22"/>
          <w:szCs w:val="22"/>
        </w:rPr>
        <w:t> </w:t>
      </w:r>
      <w:r w:rsidRPr="00563F6F">
        <w:rPr>
          <w:rFonts w:ascii="Arial" w:hAnsi="Arial" w:cs="Arial"/>
          <w:i/>
          <w:iCs/>
          <w:sz w:val="22"/>
          <w:szCs w:val="22"/>
          <w:u w:val="single"/>
        </w:rPr>
        <w:t>No estarán sometidos a la vigencia de la presente ley y tendrán una vigencia de carácter permanente los artículos </w:t>
      </w:r>
      <w:hyperlink r:id="rId12" w:anchor="5" w:history="1">
        <w:r w:rsidRPr="00563F6F">
          <w:rPr>
            <w:rStyle w:val="Hipervnculo"/>
            <w:rFonts w:ascii="Arial" w:hAnsi="Arial" w:cs="Arial"/>
            <w:i/>
            <w:iCs/>
            <w:color w:val="auto"/>
            <w:sz w:val="22"/>
            <w:szCs w:val="22"/>
          </w:rPr>
          <w:t>5</w:t>
        </w:r>
      </w:hyperlink>
      <w:r w:rsidRPr="00563F6F">
        <w:rPr>
          <w:rFonts w:ascii="Arial" w:hAnsi="Arial" w:cs="Arial"/>
          <w:i/>
          <w:iCs/>
          <w:sz w:val="22"/>
          <w:szCs w:val="22"/>
          <w:u w:val="single"/>
        </w:rPr>
        <w:t>o y </w:t>
      </w:r>
      <w:hyperlink r:id="rId13" w:anchor="6" w:history="1">
        <w:r w:rsidRPr="00563F6F">
          <w:rPr>
            <w:rStyle w:val="Hipervnculo"/>
            <w:rFonts w:ascii="Arial" w:hAnsi="Arial" w:cs="Arial"/>
            <w:i/>
            <w:iCs/>
            <w:color w:val="auto"/>
            <w:sz w:val="22"/>
            <w:szCs w:val="22"/>
          </w:rPr>
          <w:t>6</w:t>
        </w:r>
      </w:hyperlink>
      <w:r w:rsidRPr="00563F6F">
        <w:rPr>
          <w:rFonts w:ascii="Arial" w:hAnsi="Arial" w:cs="Arial"/>
          <w:i/>
          <w:iCs/>
          <w:sz w:val="22"/>
          <w:szCs w:val="22"/>
          <w:u w:val="single"/>
        </w:rPr>
        <w:t>o de la Ley 1106 de 2006, y los artículos </w:t>
      </w:r>
      <w:hyperlink r:id="rId14" w:anchor="6" w:history="1">
        <w:r w:rsidRPr="00563F6F">
          <w:rPr>
            <w:rStyle w:val="Hipervnculo"/>
            <w:rFonts w:ascii="Arial" w:hAnsi="Arial" w:cs="Arial"/>
            <w:i/>
            <w:iCs/>
            <w:color w:val="auto"/>
            <w:sz w:val="22"/>
            <w:szCs w:val="22"/>
          </w:rPr>
          <w:t>6</w:t>
        </w:r>
      </w:hyperlink>
      <w:r w:rsidRPr="00563F6F">
        <w:rPr>
          <w:rFonts w:ascii="Arial" w:hAnsi="Arial" w:cs="Arial"/>
          <w:i/>
          <w:iCs/>
          <w:sz w:val="22"/>
          <w:szCs w:val="22"/>
          <w:u w:val="single"/>
        </w:rPr>
        <w:t>o y </w:t>
      </w:r>
      <w:hyperlink r:id="rId15" w:anchor="7" w:history="1">
        <w:r w:rsidRPr="00563F6F">
          <w:rPr>
            <w:rStyle w:val="Hipervnculo"/>
            <w:rFonts w:ascii="Arial" w:hAnsi="Arial" w:cs="Arial"/>
            <w:i/>
            <w:iCs/>
            <w:color w:val="auto"/>
            <w:sz w:val="22"/>
            <w:szCs w:val="22"/>
          </w:rPr>
          <w:t>7</w:t>
        </w:r>
      </w:hyperlink>
      <w:r w:rsidRPr="00563F6F">
        <w:rPr>
          <w:rFonts w:ascii="Arial" w:hAnsi="Arial" w:cs="Arial"/>
          <w:i/>
          <w:iCs/>
          <w:sz w:val="22"/>
          <w:szCs w:val="22"/>
          <w:u w:val="single"/>
        </w:rPr>
        <w:t>o de la Ley 1421 de 2010.</w:t>
      </w:r>
      <w:r w:rsidR="00543494" w:rsidRPr="00563F6F">
        <w:rPr>
          <w:rFonts w:ascii="Arial" w:hAnsi="Arial" w:cs="Arial"/>
          <w:i/>
          <w:iCs/>
          <w:sz w:val="22"/>
          <w:szCs w:val="22"/>
          <w:u w:val="single"/>
        </w:rPr>
        <w:t xml:space="preserve"> (Resaltado fuera del texto) </w:t>
      </w:r>
    </w:p>
    <w:p w14:paraId="69E7D927" w14:textId="77777777" w:rsidR="00B30C56" w:rsidRPr="00563F6F" w:rsidRDefault="00B30C56" w:rsidP="00F475AD">
      <w:pPr>
        <w:jc w:val="both"/>
        <w:rPr>
          <w:rFonts w:ascii="Arial" w:hAnsi="Arial" w:cs="Arial"/>
          <w:lang w:eastAsia="es-CO"/>
        </w:rPr>
      </w:pPr>
    </w:p>
    <w:p w14:paraId="4A56CB93" w14:textId="79AC8143" w:rsidR="00EF1B6D" w:rsidRPr="00563F6F" w:rsidRDefault="00470413" w:rsidP="00497212">
      <w:pPr>
        <w:jc w:val="both"/>
        <w:rPr>
          <w:rFonts w:ascii="Arial" w:hAnsi="Arial" w:cs="Arial"/>
          <w:lang w:eastAsia="es-CO"/>
        </w:rPr>
      </w:pPr>
      <w:r w:rsidRPr="00563F6F">
        <w:rPr>
          <w:rFonts w:ascii="Arial" w:hAnsi="Arial" w:cs="Arial"/>
          <w:lang w:eastAsia="es-CO"/>
        </w:rPr>
        <w:t xml:space="preserve">Los artículos </w:t>
      </w:r>
      <w:r w:rsidR="00F21FB9" w:rsidRPr="00563F6F">
        <w:rPr>
          <w:rFonts w:ascii="Arial" w:hAnsi="Arial" w:cs="Arial"/>
          <w:lang w:eastAsia="es-CO"/>
        </w:rPr>
        <w:t xml:space="preserve">5º y 6º de la Ley 1106 de 2006 </w:t>
      </w:r>
      <w:r w:rsidR="008B5957" w:rsidRPr="00563F6F">
        <w:rPr>
          <w:rFonts w:ascii="Arial" w:hAnsi="Arial" w:cs="Arial"/>
          <w:lang w:eastAsia="es-CO"/>
        </w:rPr>
        <w:t>defi</w:t>
      </w:r>
      <w:r w:rsidR="00DB7171" w:rsidRPr="00563F6F">
        <w:rPr>
          <w:rFonts w:ascii="Arial" w:hAnsi="Arial" w:cs="Arial"/>
          <w:lang w:eastAsia="es-CO"/>
        </w:rPr>
        <w:t xml:space="preserve">nen los elementos de la obligación tributaria </w:t>
      </w:r>
      <w:bookmarkStart w:id="4" w:name="6"/>
      <w:r w:rsidR="0070463C" w:rsidRPr="00563F6F">
        <w:rPr>
          <w:rFonts w:ascii="Arial" w:hAnsi="Arial" w:cs="Arial"/>
        </w:rPr>
        <w:t>de la contribución de los contratos de obra pública o concesión de obra pública y otras concesiones</w:t>
      </w:r>
      <w:bookmarkEnd w:id="4"/>
      <w:r w:rsidR="00A01029" w:rsidRPr="00563F6F">
        <w:rPr>
          <w:rFonts w:ascii="Arial" w:hAnsi="Arial" w:cs="Arial"/>
        </w:rPr>
        <w:t>, lo que no deja duda jurídica sobre su vigencia actual.</w:t>
      </w:r>
    </w:p>
    <w:p w14:paraId="723A1C5A" w14:textId="3E590FAD" w:rsidR="00713B3F" w:rsidRPr="00563F6F" w:rsidRDefault="00713B3F" w:rsidP="00497212">
      <w:pPr>
        <w:jc w:val="both"/>
        <w:rPr>
          <w:rFonts w:ascii="Arial" w:eastAsia="Courier New" w:hAnsi="Arial" w:cs="Arial"/>
        </w:rPr>
      </w:pPr>
    </w:p>
    <w:p w14:paraId="79BB230E" w14:textId="39E89871" w:rsidR="00713B3F" w:rsidRPr="00563F6F" w:rsidRDefault="00713B3F" w:rsidP="00497212">
      <w:pPr>
        <w:jc w:val="both"/>
        <w:rPr>
          <w:rFonts w:ascii="Arial" w:eastAsia="Courier New" w:hAnsi="Arial" w:cs="Arial"/>
        </w:rPr>
      </w:pPr>
      <w:r w:rsidRPr="00563F6F">
        <w:rPr>
          <w:rFonts w:ascii="Arial" w:eastAsia="Courier New" w:hAnsi="Arial" w:cs="Arial"/>
        </w:rPr>
        <w:t>El criterio ya expuest</w:t>
      </w:r>
      <w:r w:rsidR="00546ADD" w:rsidRPr="00563F6F">
        <w:rPr>
          <w:rFonts w:ascii="Arial" w:eastAsia="Courier New" w:hAnsi="Arial" w:cs="Arial"/>
        </w:rPr>
        <w:t xml:space="preserve">o por esta Dirección es coincidente con </w:t>
      </w:r>
      <w:r w:rsidR="00430537" w:rsidRPr="00563F6F">
        <w:rPr>
          <w:rFonts w:ascii="Arial" w:eastAsia="Courier New" w:hAnsi="Arial" w:cs="Arial"/>
        </w:rPr>
        <w:t>lo sostenido al respecto por el Consejo de Estado.</w:t>
      </w:r>
      <w:r w:rsidR="00430537" w:rsidRPr="00563F6F">
        <w:rPr>
          <w:rStyle w:val="Refdenotaalpie"/>
          <w:rFonts w:ascii="Arial" w:eastAsia="Courier New" w:hAnsi="Arial" w:cs="Arial"/>
        </w:rPr>
        <w:footnoteReference w:id="2"/>
      </w:r>
      <w:r w:rsidR="00430537" w:rsidRPr="00563F6F">
        <w:rPr>
          <w:rFonts w:ascii="Arial" w:eastAsia="Courier New" w:hAnsi="Arial" w:cs="Arial"/>
        </w:rPr>
        <w:t xml:space="preserve"> </w:t>
      </w:r>
    </w:p>
    <w:p w14:paraId="00C1FD20" w14:textId="77777777" w:rsidR="00713B3F" w:rsidRPr="00563F6F" w:rsidRDefault="00713B3F" w:rsidP="00497212">
      <w:pPr>
        <w:jc w:val="both"/>
        <w:rPr>
          <w:rFonts w:ascii="Arial" w:eastAsia="Courier New" w:hAnsi="Arial" w:cs="Arial"/>
        </w:rPr>
      </w:pPr>
    </w:p>
    <w:p w14:paraId="59BB673C" w14:textId="745D482C" w:rsidR="008B62B5" w:rsidRPr="00563F6F" w:rsidRDefault="008B62B5" w:rsidP="00497212">
      <w:pPr>
        <w:pStyle w:val="Ttulo2"/>
        <w:spacing w:before="0" w:after="0"/>
        <w:ind w:left="284" w:right="283"/>
        <w:jc w:val="both"/>
        <w:rPr>
          <w:rFonts w:ascii="Arial" w:hAnsi="Arial" w:cs="Arial"/>
          <w:i w:val="0"/>
          <w:iCs w:val="0"/>
          <w:sz w:val="22"/>
          <w:szCs w:val="22"/>
        </w:rPr>
      </w:pPr>
      <w:r w:rsidRPr="00563F6F">
        <w:rPr>
          <w:rFonts w:ascii="Arial" w:hAnsi="Arial" w:cs="Arial"/>
          <w:sz w:val="22"/>
          <w:szCs w:val="22"/>
        </w:rPr>
        <w:t>“La norma vigente</w:t>
      </w:r>
      <w:r w:rsidRPr="00563F6F">
        <w:rPr>
          <w:rFonts w:ascii="Arial" w:hAnsi="Arial" w:cs="Arial"/>
          <w:b w:val="0"/>
          <w:sz w:val="22"/>
          <w:szCs w:val="22"/>
        </w:rPr>
        <w:t xml:space="preserve"> </w:t>
      </w:r>
    </w:p>
    <w:p w14:paraId="0574579F" w14:textId="77777777" w:rsidR="008B62B5" w:rsidRPr="00563F6F" w:rsidRDefault="008B62B5" w:rsidP="00497212">
      <w:pPr>
        <w:ind w:left="284" w:right="283"/>
        <w:jc w:val="both"/>
        <w:rPr>
          <w:rFonts w:ascii="Arial" w:hAnsi="Arial" w:cs="Arial"/>
          <w:i/>
          <w:iCs/>
          <w:sz w:val="22"/>
          <w:szCs w:val="22"/>
        </w:rPr>
      </w:pPr>
      <w:r w:rsidRPr="00563F6F">
        <w:rPr>
          <w:rFonts w:ascii="Arial" w:hAnsi="Arial" w:cs="Arial"/>
          <w:i/>
          <w:iCs/>
          <w:sz w:val="22"/>
          <w:szCs w:val="22"/>
        </w:rPr>
        <w:t xml:space="preserve"> </w:t>
      </w:r>
    </w:p>
    <w:p w14:paraId="5B5214AD" w14:textId="77777777" w:rsidR="008B62B5" w:rsidRPr="00563F6F" w:rsidRDefault="008B62B5" w:rsidP="00497212">
      <w:pPr>
        <w:ind w:left="284" w:right="283"/>
        <w:jc w:val="both"/>
        <w:rPr>
          <w:rFonts w:ascii="Arial" w:hAnsi="Arial" w:cs="Arial"/>
          <w:i/>
          <w:iCs/>
          <w:sz w:val="22"/>
          <w:szCs w:val="22"/>
        </w:rPr>
      </w:pPr>
      <w:r w:rsidRPr="00563F6F">
        <w:rPr>
          <w:rFonts w:ascii="Arial" w:hAnsi="Arial" w:cs="Arial"/>
          <w:i/>
          <w:iCs/>
          <w:sz w:val="22"/>
          <w:szCs w:val="22"/>
        </w:rPr>
        <w:t>Los elementos de la contribución especial sobre los contratos de obras públicas que rigen actualmente están determinados por el artículo 6º de la Ley 1106 de 2006</w:t>
      </w:r>
      <w:r w:rsidRPr="00563F6F">
        <w:rPr>
          <w:rFonts w:ascii="Arial" w:hAnsi="Arial" w:cs="Arial"/>
          <w:i/>
          <w:iCs/>
          <w:sz w:val="22"/>
          <w:szCs w:val="22"/>
          <w:vertAlign w:val="superscript"/>
        </w:rPr>
        <w:t>28</w:t>
      </w:r>
      <w:r w:rsidRPr="00563F6F">
        <w:rPr>
          <w:rFonts w:ascii="Arial" w:hAnsi="Arial" w:cs="Arial"/>
          <w:i/>
          <w:iCs/>
          <w:sz w:val="22"/>
          <w:szCs w:val="22"/>
        </w:rPr>
        <w:t xml:space="preserve">. </w:t>
      </w:r>
    </w:p>
    <w:p w14:paraId="76F0073D" w14:textId="77777777" w:rsidR="008B62B5" w:rsidRPr="00563F6F" w:rsidRDefault="008B62B5" w:rsidP="00497212">
      <w:pPr>
        <w:ind w:left="284" w:right="283"/>
        <w:jc w:val="both"/>
        <w:rPr>
          <w:rFonts w:ascii="Arial" w:hAnsi="Arial" w:cs="Arial"/>
          <w:i/>
          <w:iCs/>
          <w:sz w:val="22"/>
          <w:szCs w:val="22"/>
        </w:rPr>
      </w:pPr>
      <w:r w:rsidRPr="00563F6F">
        <w:rPr>
          <w:rFonts w:ascii="Arial" w:hAnsi="Arial" w:cs="Arial"/>
          <w:i/>
          <w:iCs/>
          <w:sz w:val="22"/>
          <w:szCs w:val="22"/>
        </w:rPr>
        <w:t xml:space="preserve"> </w:t>
      </w:r>
    </w:p>
    <w:p w14:paraId="7152998E" w14:textId="77777777" w:rsidR="008B62B5" w:rsidRPr="00563F6F" w:rsidRDefault="008B62B5" w:rsidP="00497212">
      <w:pPr>
        <w:ind w:left="284" w:right="283"/>
        <w:jc w:val="both"/>
        <w:rPr>
          <w:rFonts w:ascii="Arial" w:hAnsi="Arial" w:cs="Arial"/>
          <w:i/>
          <w:iCs/>
          <w:sz w:val="22"/>
          <w:szCs w:val="22"/>
        </w:rPr>
      </w:pPr>
      <w:r w:rsidRPr="00563F6F">
        <w:rPr>
          <w:rFonts w:ascii="Arial" w:hAnsi="Arial" w:cs="Arial"/>
          <w:i/>
          <w:iCs/>
          <w:sz w:val="22"/>
          <w:szCs w:val="22"/>
        </w:rPr>
        <w:t xml:space="preserve">La Ley 1106 en cita se expidió para prorrogar y modificar algunas de las disposiciones de las Leyes 418 de 1997, 548 de 1999 y 782 de 2002; la prórroga fue de 4 años, y fueron objeto de la misma, entre otros, los artículos 123, 124 y 125 de la Ley 418, esto es, los referentes a la contribución especial de obras públicas. </w:t>
      </w:r>
    </w:p>
    <w:p w14:paraId="08D9DA18" w14:textId="77777777" w:rsidR="008B62B5" w:rsidRPr="00563F6F" w:rsidRDefault="008B62B5" w:rsidP="00497212">
      <w:pPr>
        <w:ind w:left="284" w:right="283"/>
        <w:jc w:val="both"/>
        <w:rPr>
          <w:rFonts w:ascii="Arial" w:hAnsi="Arial" w:cs="Arial"/>
          <w:i/>
          <w:iCs/>
          <w:sz w:val="22"/>
          <w:szCs w:val="22"/>
        </w:rPr>
      </w:pPr>
      <w:r w:rsidRPr="00563F6F">
        <w:rPr>
          <w:rFonts w:ascii="Arial" w:hAnsi="Arial" w:cs="Arial"/>
          <w:i/>
          <w:iCs/>
          <w:sz w:val="22"/>
          <w:szCs w:val="22"/>
        </w:rPr>
        <w:t xml:space="preserve"> </w:t>
      </w:r>
    </w:p>
    <w:p w14:paraId="289087C9" w14:textId="77777777" w:rsidR="008B62B5" w:rsidRPr="00563F6F" w:rsidRDefault="008B62B5" w:rsidP="00497212">
      <w:pPr>
        <w:ind w:left="284" w:right="283"/>
        <w:jc w:val="both"/>
        <w:rPr>
          <w:rFonts w:ascii="Arial" w:hAnsi="Arial" w:cs="Arial"/>
          <w:i/>
          <w:iCs/>
          <w:sz w:val="22"/>
          <w:szCs w:val="22"/>
        </w:rPr>
      </w:pPr>
      <w:r w:rsidRPr="00563F6F">
        <w:rPr>
          <w:rFonts w:ascii="Arial" w:hAnsi="Arial" w:cs="Arial"/>
          <w:i/>
          <w:iCs/>
          <w:sz w:val="22"/>
          <w:szCs w:val="22"/>
        </w:rPr>
        <w:t>En 2010 fue dictada la Ley 1421</w:t>
      </w:r>
      <w:r w:rsidRPr="00563F6F">
        <w:rPr>
          <w:rFonts w:ascii="Arial" w:hAnsi="Arial" w:cs="Arial"/>
          <w:i/>
          <w:iCs/>
          <w:sz w:val="22"/>
          <w:szCs w:val="22"/>
          <w:vertAlign w:val="superscript"/>
        </w:rPr>
        <w:t>29</w:t>
      </w:r>
      <w:r w:rsidRPr="00563F6F">
        <w:rPr>
          <w:rFonts w:ascii="Arial" w:hAnsi="Arial" w:cs="Arial"/>
          <w:i/>
          <w:iCs/>
          <w:sz w:val="22"/>
          <w:szCs w:val="22"/>
        </w:rPr>
        <w:t xml:space="preserve"> que prorrogó por 4 años más la vigencia del artículo 6º, entre otros artículos de la Ley 1106. </w:t>
      </w:r>
    </w:p>
    <w:p w14:paraId="4BB60548" w14:textId="77777777" w:rsidR="008B62B5" w:rsidRPr="00563F6F" w:rsidRDefault="008B62B5" w:rsidP="00497212">
      <w:pPr>
        <w:ind w:left="284" w:right="283"/>
        <w:jc w:val="both"/>
        <w:rPr>
          <w:rFonts w:ascii="Arial" w:hAnsi="Arial" w:cs="Arial"/>
          <w:i/>
          <w:iCs/>
          <w:sz w:val="22"/>
          <w:szCs w:val="22"/>
        </w:rPr>
      </w:pPr>
      <w:r w:rsidRPr="00563F6F">
        <w:rPr>
          <w:rFonts w:ascii="Arial" w:eastAsia="Calibri" w:hAnsi="Arial" w:cs="Arial"/>
          <w:i/>
          <w:iCs/>
          <w:strike/>
          <w:sz w:val="22"/>
          <w:szCs w:val="22"/>
        </w:rPr>
        <w:t xml:space="preserve">                                                         </w:t>
      </w:r>
      <w:r w:rsidRPr="00563F6F">
        <w:rPr>
          <w:rFonts w:ascii="Arial" w:eastAsia="Calibri" w:hAnsi="Arial" w:cs="Arial"/>
          <w:i/>
          <w:iCs/>
          <w:sz w:val="22"/>
          <w:szCs w:val="22"/>
        </w:rPr>
        <w:t xml:space="preserve"> </w:t>
      </w:r>
    </w:p>
    <w:p w14:paraId="32EAF552" w14:textId="77777777" w:rsidR="008B62B5" w:rsidRPr="00563F6F" w:rsidRDefault="008B62B5" w:rsidP="00497212">
      <w:pPr>
        <w:ind w:left="284" w:right="283"/>
        <w:jc w:val="both"/>
        <w:rPr>
          <w:rFonts w:ascii="Arial" w:hAnsi="Arial" w:cs="Arial"/>
          <w:i/>
          <w:iCs/>
          <w:sz w:val="22"/>
          <w:szCs w:val="22"/>
        </w:rPr>
      </w:pPr>
      <w:r w:rsidRPr="00563F6F">
        <w:rPr>
          <w:rFonts w:ascii="Arial" w:hAnsi="Arial" w:cs="Arial"/>
          <w:i/>
          <w:iCs/>
          <w:sz w:val="22"/>
          <w:szCs w:val="22"/>
        </w:rPr>
        <w:t>A partir de la Ley 1738 de 2014</w:t>
      </w:r>
      <w:r w:rsidRPr="00563F6F">
        <w:rPr>
          <w:rFonts w:ascii="Arial" w:hAnsi="Arial" w:cs="Arial"/>
          <w:i/>
          <w:iCs/>
          <w:sz w:val="22"/>
          <w:szCs w:val="22"/>
          <w:vertAlign w:val="superscript"/>
        </w:rPr>
        <w:footnoteReference w:id="3"/>
      </w:r>
      <w:r w:rsidRPr="00563F6F">
        <w:rPr>
          <w:rFonts w:ascii="Arial" w:hAnsi="Arial" w:cs="Arial"/>
          <w:i/>
          <w:iCs/>
          <w:sz w:val="22"/>
          <w:szCs w:val="22"/>
        </w:rPr>
        <w:t xml:space="preserve">, artículo 8º, parágrafo, la contribución especial en comento tiene “vigencia de carácter permanente: </w:t>
      </w:r>
    </w:p>
    <w:p w14:paraId="7AD20EE5" w14:textId="77777777" w:rsidR="008B62B5" w:rsidRPr="00563F6F" w:rsidRDefault="008B62B5" w:rsidP="00497212">
      <w:pPr>
        <w:ind w:left="284" w:right="283"/>
        <w:jc w:val="both"/>
        <w:rPr>
          <w:rFonts w:ascii="Arial" w:hAnsi="Arial" w:cs="Arial"/>
          <w:i/>
          <w:iCs/>
          <w:sz w:val="22"/>
          <w:szCs w:val="22"/>
        </w:rPr>
      </w:pPr>
      <w:r w:rsidRPr="00563F6F">
        <w:rPr>
          <w:rFonts w:ascii="Arial" w:hAnsi="Arial" w:cs="Arial"/>
          <w:i/>
          <w:iCs/>
          <w:sz w:val="22"/>
          <w:szCs w:val="22"/>
        </w:rPr>
        <w:t xml:space="preserve"> </w:t>
      </w:r>
    </w:p>
    <w:p w14:paraId="67926BAA" w14:textId="77777777" w:rsidR="008B62B5" w:rsidRPr="00563F6F" w:rsidRDefault="008B62B5" w:rsidP="00497212">
      <w:pPr>
        <w:ind w:left="284" w:right="283"/>
        <w:jc w:val="both"/>
        <w:rPr>
          <w:rFonts w:ascii="Arial" w:hAnsi="Arial" w:cs="Arial"/>
          <w:i/>
          <w:iCs/>
          <w:sz w:val="22"/>
          <w:szCs w:val="22"/>
        </w:rPr>
      </w:pPr>
      <w:r w:rsidRPr="00563F6F">
        <w:rPr>
          <w:rFonts w:ascii="Arial" w:hAnsi="Arial" w:cs="Arial"/>
          <w:i/>
          <w:iCs/>
          <w:sz w:val="22"/>
          <w:szCs w:val="22"/>
        </w:rPr>
        <w:t xml:space="preserve">“Artículo 8°. De la vigencia y derogatoria de la ley. La presente ley tiene una vigencia de cuatro (4) años a partir de la fecha de su promulgación y deroga las demás disposiciones que le sean contrarias y el penúltimo inciso del artículo 6° de la Ley 1106 de 2006. </w:t>
      </w:r>
    </w:p>
    <w:p w14:paraId="773937FD" w14:textId="77777777" w:rsidR="008B62B5" w:rsidRPr="00563F6F" w:rsidRDefault="008B62B5" w:rsidP="00497212">
      <w:pPr>
        <w:ind w:left="284" w:right="283"/>
        <w:jc w:val="both"/>
        <w:rPr>
          <w:rFonts w:ascii="Arial" w:hAnsi="Arial" w:cs="Arial"/>
          <w:i/>
          <w:iCs/>
          <w:sz w:val="22"/>
          <w:szCs w:val="22"/>
        </w:rPr>
      </w:pPr>
      <w:r w:rsidRPr="00563F6F">
        <w:rPr>
          <w:rFonts w:ascii="Arial" w:hAnsi="Arial" w:cs="Arial"/>
          <w:i/>
          <w:iCs/>
          <w:sz w:val="22"/>
          <w:szCs w:val="22"/>
        </w:rPr>
        <w:t xml:space="preserve"> </w:t>
      </w:r>
    </w:p>
    <w:p w14:paraId="6925DFF1" w14:textId="77777777" w:rsidR="008B62B5" w:rsidRPr="00563F6F" w:rsidRDefault="008B62B5" w:rsidP="00497212">
      <w:pPr>
        <w:ind w:left="284" w:right="283"/>
        <w:jc w:val="both"/>
        <w:rPr>
          <w:rFonts w:ascii="Arial" w:hAnsi="Arial" w:cs="Arial"/>
          <w:i/>
          <w:iCs/>
          <w:sz w:val="22"/>
          <w:szCs w:val="22"/>
        </w:rPr>
      </w:pPr>
      <w:r w:rsidRPr="00563F6F">
        <w:rPr>
          <w:rFonts w:ascii="Arial" w:hAnsi="Arial" w:cs="Arial"/>
          <w:i/>
          <w:iCs/>
          <w:sz w:val="22"/>
          <w:szCs w:val="22"/>
        </w:rPr>
        <w:lastRenderedPageBreak/>
        <w:t xml:space="preserve">Parágrafo. No estarán sometidos a la vigencia de la presente ley y </w:t>
      </w:r>
      <w:r w:rsidRPr="00563F6F">
        <w:rPr>
          <w:rFonts w:ascii="Arial" w:hAnsi="Arial" w:cs="Arial"/>
          <w:b/>
          <w:i/>
          <w:iCs/>
          <w:sz w:val="22"/>
          <w:szCs w:val="22"/>
        </w:rPr>
        <w:t>tendrán una vigencia de carácter permanente los artículos 5° y 6° de la Ley 1106 de 2006</w:t>
      </w:r>
      <w:r w:rsidRPr="00563F6F">
        <w:rPr>
          <w:rFonts w:ascii="Arial" w:hAnsi="Arial" w:cs="Arial"/>
          <w:i/>
          <w:iCs/>
          <w:sz w:val="22"/>
          <w:szCs w:val="22"/>
        </w:rPr>
        <w:t xml:space="preserve">, y los artículos 6° y 7º de la Ley 1421 de 2010.” (La negrilla es de la Sala). </w:t>
      </w:r>
    </w:p>
    <w:p w14:paraId="6D0D0447" w14:textId="77777777" w:rsidR="008B62B5" w:rsidRPr="00563F6F" w:rsidRDefault="008B62B5" w:rsidP="00497212">
      <w:pPr>
        <w:ind w:left="284" w:right="283"/>
        <w:jc w:val="both"/>
        <w:rPr>
          <w:rFonts w:ascii="Arial" w:hAnsi="Arial" w:cs="Arial"/>
          <w:i/>
          <w:iCs/>
          <w:sz w:val="22"/>
          <w:szCs w:val="22"/>
        </w:rPr>
      </w:pPr>
      <w:r w:rsidRPr="00563F6F">
        <w:rPr>
          <w:rFonts w:ascii="Arial" w:hAnsi="Arial" w:cs="Arial"/>
          <w:i/>
          <w:iCs/>
          <w:sz w:val="22"/>
          <w:szCs w:val="22"/>
        </w:rPr>
        <w:t xml:space="preserve"> </w:t>
      </w:r>
    </w:p>
    <w:p w14:paraId="7FBBA952" w14:textId="7D1B30B8" w:rsidR="00B06F4F" w:rsidRPr="00563F6F" w:rsidRDefault="00BA075B" w:rsidP="00497212">
      <w:pPr>
        <w:numPr>
          <w:ilvl w:val="0"/>
          <w:numId w:val="35"/>
        </w:numPr>
        <w:ind w:left="284" w:right="283" w:hanging="10"/>
        <w:jc w:val="both"/>
        <w:rPr>
          <w:rFonts w:ascii="Arial" w:hAnsi="Arial" w:cs="Arial"/>
          <w:i/>
          <w:iCs/>
          <w:sz w:val="22"/>
          <w:szCs w:val="22"/>
        </w:rPr>
      </w:pPr>
      <w:r w:rsidRPr="00563F6F">
        <w:rPr>
          <w:rFonts w:ascii="Arial" w:hAnsi="Arial" w:cs="Arial"/>
          <w:i/>
          <w:iCs/>
          <w:sz w:val="22"/>
        </w:rPr>
        <w:t xml:space="preserve">(…) </w:t>
      </w:r>
      <w:r w:rsidR="00C30C7E" w:rsidRPr="00563F6F">
        <w:rPr>
          <w:rFonts w:ascii="Arial" w:hAnsi="Arial" w:cs="Arial"/>
          <w:i/>
          <w:iCs/>
          <w:sz w:val="22"/>
        </w:rPr>
        <w:t>La contribución especial de obra pública desde su norma de creación el Decreto 2009 de1992, pasando por las Leyes 104 de 1993, 241 de 1995, 418 de 1997,782 de 2002, hasta la Ley 1106 de 2006 que la rige actualmente, es una fuente de recursos para financiar gastos e inversiones que demanda el orden público y las políticas y medidas adoptadas para el efecto en cada una de las leyes en mención.</w:t>
      </w:r>
    </w:p>
    <w:p w14:paraId="74538A6B" w14:textId="105B76E3" w:rsidR="00B06F4F" w:rsidRPr="00563F6F" w:rsidRDefault="00B06F4F" w:rsidP="00497212">
      <w:pPr>
        <w:pStyle w:val="Prrafodelista"/>
        <w:numPr>
          <w:ilvl w:val="0"/>
          <w:numId w:val="35"/>
        </w:numPr>
        <w:ind w:left="284" w:right="283"/>
        <w:jc w:val="both"/>
        <w:rPr>
          <w:rFonts w:ascii="Arial" w:hAnsi="Arial" w:cs="Arial"/>
          <w:i/>
          <w:iCs/>
          <w:sz w:val="22"/>
          <w:szCs w:val="22"/>
        </w:rPr>
      </w:pPr>
      <w:r w:rsidRPr="00563F6F">
        <w:rPr>
          <w:rFonts w:ascii="Arial" w:hAnsi="Arial" w:cs="Arial"/>
          <w:i/>
          <w:iCs/>
          <w:sz w:val="22"/>
        </w:rPr>
        <w:t xml:space="preserve">La contribución especial de obras públicas se creó y continúa regulada como una fuente de recursos para la adquisición de bienes y servicios destinados a preservar y restablecer el orden público y para financiar las leyes y las políticas públicas en materia de seguridad ciudadana, convivencia pacífica, eficacia de la justicia, garantías de derechos y libertades fundamentales, que actualmente tienen como marco legal la Ley 418 de 1997 y sus prórrogas ordenadas en las Leyes 548 de 1999, 782 de 2002, 1106 de 2006, 1421 de 2010 y 1738 de 2014. En razón de lo cual sus sujetos activos son la Nación, los departamentos y los municipios, cuyas autoridades – </w:t>
      </w:r>
      <w:proofErr w:type="gramStart"/>
      <w:r w:rsidRPr="00563F6F">
        <w:rPr>
          <w:rFonts w:ascii="Arial" w:hAnsi="Arial" w:cs="Arial"/>
          <w:i/>
          <w:iCs/>
          <w:sz w:val="22"/>
        </w:rPr>
        <w:t>Presidente</w:t>
      </w:r>
      <w:proofErr w:type="gramEnd"/>
      <w:r w:rsidRPr="00563F6F">
        <w:rPr>
          <w:rFonts w:ascii="Arial" w:hAnsi="Arial" w:cs="Arial"/>
          <w:i/>
          <w:iCs/>
          <w:sz w:val="22"/>
        </w:rPr>
        <w:t xml:space="preserve"> de la República, gobernadores y alcaldes - tienen en la Constitución Política y en la ley precisas funciones y responsabilidades en materia de orden público.</w:t>
      </w:r>
      <w:r w:rsidR="00093D3C" w:rsidRPr="00563F6F">
        <w:rPr>
          <w:rFonts w:ascii="Arial" w:hAnsi="Arial" w:cs="Arial"/>
          <w:i/>
          <w:iCs/>
          <w:sz w:val="22"/>
        </w:rPr>
        <w:t>”</w:t>
      </w:r>
      <w:r w:rsidRPr="00563F6F">
        <w:rPr>
          <w:rFonts w:ascii="Arial" w:hAnsi="Arial" w:cs="Arial"/>
          <w:i/>
          <w:iCs/>
          <w:sz w:val="22"/>
        </w:rPr>
        <w:t xml:space="preserve"> </w:t>
      </w:r>
    </w:p>
    <w:p w14:paraId="56F5529E" w14:textId="77777777" w:rsidR="006971AF" w:rsidRPr="00563F6F" w:rsidRDefault="006971AF" w:rsidP="00F475AD">
      <w:pPr>
        <w:ind w:left="-142"/>
        <w:jc w:val="both"/>
        <w:rPr>
          <w:rFonts w:ascii="Arial" w:hAnsi="Arial" w:cs="Arial"/>
        </w:rPr>
      </w:pPr>
    </w:p>
    <w:p w14:paraId="2995D151" w14:textId="38992353" w:rsidR="00423C07" w:rsidRPr="00563F6F" w:rsidRDefault="00295790" w:rsidP="00497212">
      <w:pPr>
        <w:ind w:left="-142"/>
        <w:jc w:val="both"/>
        <w:rPr>
          <w:rFonts w:ascii="Arial" w:hAnsi="Arial" w:cs="Arial"/>
        </w:rPr>
      </w:pPr>
      <w:r w:rsidRPr="00563F6F">
        <w:rPr>
          <w:rFonts w:ascii="Arial" w:hAnsi="Arial" w:cs="Arial"/>
        </w:rPr>
        <w:t xml:space="preserve">De otra parte, debe afirmarse que </w:t>
      </w:r>
      <w:r w:rsidR="00576679" w:rsidRPr="00563F6F">
        <w:rPr>
          <w:rFonts w:ascii="Arial" w:hAnsi="Arial" w:cs="Arial"/>
        </w:rPr>
        <w:t xml:space="preserve">los </w:t>
      </w:r>
      <w:r w:rsidR="00D37193" w:rsidRPr="00563F6F">
        <w:rPr>
          <w:rFonts w:ascii="Arial" w:hAnsi="Arial" w:cs="Arial"/>
        </w:rPr>
        <w:t>descuento</w:t>
      </w:r>
      <w:r w:rsidR="00617FC5" w:rsidRPr="00563F6F">
        <w:rPr>
          <w:rFonts w:ascii="Arial" w:hAnsi="Arial" w:cs="Arial"/>
        </w:rPr>
        <w:t>s</w:t>
      </w:r>
      <w:r w:rsidR="00D37193" w:rsidRPr="00563F6F">
        <w:rPr>
          <w:rFonts w:ascii="Arial" w:hAnsi="Arial" w:cs="Arial"/>
        </w:rPr>
        <w:t xml:space="preserve"> </w:t>
      </w:r>
      <w:r w:rsidR="00E73D84" w:rsidRPr="00563F6F">
        <w:rPr>
          <w:rFonts w:ascii="Arial" w:hAnsi="Arial" w:cs="Arial"/>
        </w:rPr>
        <w:t xml:space="preserve">realizados </w:t>
      </w:r>
      <w:r w:rsidR="00617FC5" w:rsidRPr="00563F6F">
        <w:rPr>
          <w:rFonts w:ascii="Arial" w:hAnsi="Arial" w:cs="Arial"/>
        </w:rPr>
        <w:t xml:space="preserve">a </w:t>
      </w:r>
      <w:r w:rsidR="00E73D84" w:rsidRPr="00563F6F">
        <w:rPr>
          <w:rFonts w:ascii="Arial" w:hAnsi="Arial" w:cs="Arial"/>
        </w:rPr>
        <w:t xml:space="preserve">los </w:t>
      </w:r>
      <w:r w:rsidR="00D37193" w:rsidRPr="00563F6F">
        <w:rPr>
          <w:rFonts w:ascii="Arial" w:hAnsi="Arial" w:cs="Arial"/>
        </w:rPr>
        <w:t>anticipo</w:t>
      </w:r>
      <w:r w:rsidR="00617FC5" w:rsidRPr="00563F6F">
        <w:rPr>
          <w:rFonts w:ascii="Arial" w:hAnsi="Arial" w:cs="Arial"/>
        </w:rPr>
        <w:t>s</w:t>
      </w:r>
      <w:r w:rsidR="00D37193" w:rsidRPr="00563F6F">
        <w:rPr>
          <w:rFonts w:ascii="Arial" w:hAnsi="Arial" w:cs="Arial"/>
        </w:rPr>
        <w:t xml:space="preserve"> otorgado</w:t>
      </w:r>
      <w:r w:rsidR="00617FC5" w:rsidRPr="00563F6F">
        <w:rPr>
          <w:rFonts w:ascii="Arial" w:hAnsi="Arial" w:cs="Arial"/>
        </w:rPr>
        <w:t>s</w:t>
      </w:r>
      <w:r w:rsidR="00D37193" w:rsidRPr="00563F6F">
        <w:rPr>
          <w:rFonts w:ascii="Arial" w:hAnsi="Arial" w:cs="Arial"/>
        </w:rPr>
        <w:t>,</w:t>
      </w:r>
      <w:r w:rsidRPr="00563F6F">
        <w:rPr>
          <w:rFonts w:ascii="Arial" w:hAnsi="Arial" w:cs="Arial"/>
        </w:rPr>
        <w:t xml:space="preserve"> dentro de los contratos de obra pública, </w:t>
      </w:r>
      <w:r w:rsidR="00A06D60" w:rsidRPr="00563F6F">
        <w:rPr>
          <w:rFonts w:ascii="Arial" w:hAnsi="Arial" w:cs="Arial"/>
        </w:rPr>
        <w:t xml:space="preserve">tienen fundamento directo en la misma Ley 418 de 1997, </w:t>
      </w:r>
      <w:r w:rsidR="001A3BFE" w:rsidRPr="00563F6F">
        <w:rPr>
          <w:rFonts w:ascii="Arial" w:hAnsi="Arial" w:cs="Arial"/>
        </w:rPr>
        <w:t>“</w:t>
      </w:r>
      <w:r w:rsidR="001A3BFE" w:rsidRPr="002302CA">
        <w:rPr>
          <w:rFonts w:ascii="Arial" w:hAnsi="Arial" w:cs="Arial"/>
          <w:i/>
          <w:iCs/>
        </w:rPr>
        <w:t>Por la cual se consagran unos instrumentos para la búsqueda de la convivencia, la eficacia de la justicia y se dictan otras disposiciones</w:t>
      </w:r>
      <w:r w:rsidR="001A3BFE" w:rsidRPr="00563F6F">
        <w:rPr>
          <w:rFonts w:ascii="Arial" w:hAnsi="Arial" w:cs="Arial"/>
        </w:rPr>
        <w:t>”</w:t>
      </w:r>
      <w:r w:rsidR="00BB4E3C">
        <w:rPr>
          <w:rFonts w:ascii="Arial" w:hAnsi="Arial" w:cs="Arial"/>
        </w:rPr>
        <w:t>:</w:t>
      </w:r>
      <w:r w:rsidR="001A3BFE" w:rsidRPr="00563F6F">
        <w:rPr>
          <w:rFonts w:ascii="Arial" w:hAnsi="Arial" w:cs="Arial"/>
        </w:rPr>
        <w:t xml:space="preserve"> </w:t>
      </w:r>
    </w:p>
    <w:p w14:paraId="26339719" w14:textId="77777777" w:rsidR="006971AF" w:rsidRPr="00563F6F" w:rsidRDefault="006971AF" w:rsidP="00F475AD">
      <w:pPr>
        <w:ind w:left="284" w:right="283"/>
        <w:jc w:val="both"/>
        <w:rPr>
          <w:rFonts w:ascii="Arial" w:hAnsi="Arial" w:cs="Arial"/>
          <w:b/>
          <w:bCs/>
          <w:i/>
          <w:iCs/>
          <w:sz w:val="22"/>
          <w:szCs w:val="22"/>
          <w:lang w:eastAsia="es-CO"/>
        </w:rPr>
      </w:pPr>
      <w:bookmarkStart w:id="5" w:name="121"/>
    </w:p>
    <w:p w14:paraId="3D7B4E6F" w14:textId="65653F5A" w:rsidR="00423C07" w:rsidRPr="00563F6F" w:rsidRDefault="00034166" w:rsidP="00497212">
      <w:pPr>
        <w:ind w:left="284" w:right="283"/>
        <w:jc w:val="both"/>
        <w:rPr>
          <w:rFonts w:ascii="Arial" w:hAnsi="Arial" w:cs="Arial"/>
          <w:i/>
          <w:iCs/>
          <w:sz w:val="22"/>
          <w:szCs w:val="22"/>
          <w:lang w:eastAsia="es-CO"/>
        </w:rPr>
      </w:pPr>
      <w:r w:rsidRPr="00563F6F">
        <w:rPr>
          <w:rFonts w:ascii="Arial" w:hAnsi="Arial" w:cs="Arial"/>
          <w:b/>
          <w:bCs/>
          <w:i/>
          <w:iCs/>
          <w:sz w:val="22"/>
          <w:szCs w:val="22"/>
          <w:lang w:eastAsia="es-CO"/>
        </w:rPr>
        <w:t>“</w:t>
      </w:r>
      <w:r w:rsidR="00423C07" w:rsidRPr="00563F6F">
        <w:rPr>
          <w:rFonts w:ascii="Arial" w:hAnsi="Arial" w:cs="Arial"/>
          <w:i/>
          <w:iCs/>
          <w:sz w:val="22"/>
          <w:szCs w:val="22"/>
          <w:lang w:eastAsia="es-CO"/>
        </w:rPr>
        <w:t>A</w:t>
      </w:r>
      <w:r w:rsidR="00BB4E3C" w:rsidRPr="00563F6F">
        <w:rPr>
          <w:rFonts w:ascii="Arial" w:hAnsi="Arial" w:cs="Arial"/>
          <w:i/>
          <w:iCs/>
          <w:sz w:val="22"/>
          <w:szCs w:val="22"/>
          <w:lang w:eastAsia="es-CO"/>
        </w:rPr>
        <w:t>rtículo</w:t>
      </w:r>
      <w:r w:rsidR="00423C07" w:rsidRPr="00563F6F">
        <w:rPr>
          <w:rFonts w:ascii="Arial" w:hAnsi="Arial" w:cs="Arial"/>
          <w:i/>
          <w:iCs/>
          <w:sz w:val="22"/>
          <w:szCs w:val="22"/>
          <w:lang w:eastAsia="es-CO"/>
        </w:rPr>
        <w:t xml:space="preserve"> 121.</w:t>
      </w:r>
      <w:r w:rsidR="00423C07" w:rsidRPr="00563F6F">
        <w:rPr>
          <w:rFonts w:ascii="Arial" w:hAnsi="Arial" w:cs="Arial"/>
          <w:b/>
          <w:bCs/>
          <w:i/>
          <w:iCs/>
          <w:sz w:val="22"/>
          <w:szCs w:val="22"/>
          <w:lang w:eastAsia="es-CO"/>
        </w:rPr>
        <w:t> </w:t>
      </w:r>
      <w:bookmarkEnd w:id="5"/>
      <w:r w:rsidR="00423C07" w:rsidRPr="00563F6F">
        <w:rPr>
          <w:rFonts w:ascii="Arial" w:hAnsi="Arial" w:cs="Arial"/>
          <w:i/>
          <w:iCs/>
          <w:sz w:val="22"/>
          <w:szCs w:val="22"/>
          <w:lang w:eastAsia="es-CO"/>
        </w:rPr>
        <w:t>Para los efectos previstos en el artículo anterior, la entidad pública contratante descontará el cinco por ciento (5%) del valor del anticipo, si lo hubiere, y de cada cuenta que cancele al contratista.</w:t>
      </w:r>
    </w:p>
    <w:p w14:paraId="0FD8AAB6" w14:textId="77777777" w:rsidR="00AE4CB0" w:rsidRPr="00563F6F" w:rsidRDefault="00AE4CB0" w:rsidP="00F475AD">
      <w:pPr>
        <w:ind w:left="284" w:right="283"/>
        <w:jc w:val="both"/>
        <w:rPr>
          <w:rFonts w:ascii="Arial" w:hAnsi="Arial" w:cs="Arial"/>
          <w:i/>
          <w:iCs/>
          <w:sz w:val="22"/>
          <w:szCs w:val="22"/>
          <w:lang w:eastAsia="es-CO"/>
        </w:rPr>
      </w:pPr>
    </w:p>
    <w:p w14:paraId="3E7CC786" w14:textId="2F88029A" w:rsidR="00423C07" w:rsidRPr="00563F6F" w:rsidRDefault="00423C07" w:rsidP="00F475AD">
      <w:pPr>
        <w:ind w:left="284" w:right="283"/>
        <w:jc w:val="both"/>
        <w:rPr>
          <w:rFonts w:ascii="Arial" w:hAnsi="Arial" w:cs="Arial"/>
          <w:i/>
          <w:iCs/>
          <w:sz w:val="22"/>
          <w:szCs w:val="22"/>
          <w:lang w:eastAsia="es-CO"/>
        </w:rPr>
      </w:pPr>
      <w:r w:rsidRPr="00563F6F">
        <w:rPr>
          <w:rFonts w:ascii="Arial" w:hAnsi="Arial" w:cs="Arial"/>
          <w:i/>
          <w:iCs/>
          <w:sz w:val="22"/>
          <w:szCs w:val="22"/>
          <w:lang w:eastAsia="es-CO"/>
        </w:rPr>
        <w:t>El valor retenido por la entidad pública contratante deberá ser consignado inmediatamente en la institución que señale, según sea el caso, el Ministerio de Hacienda y Crédito Público o la entidad territorial correspondiente.</w:t>
      </w:r>
      <w:r w:rsidR="00034166" w:rsidRPr="00563F6F">
        <w:rPr>
          <w:rFonts w:ascii="Arial" w:hAnsi="Arial" w:cs="Arial"/>
          <w:i/>
          <w:iCs/>
          <w:sz w:val="22"/>
          <w:szCs w:val="22"/>
          <w:lang w:eastAsia="es-CO"/>
        </w:rPr>
        <w:t>”</w:t>
      </w:r>
    </w:p>
    <w:p w14:paraId="61615277" w14:textId="77777777" w:rsidR="006971AF" w:rsidRPr="00563F6F" w:rsidRDefault="006971AF" w:rsidP="00497212">
      <w:pPr>
        <w:ind w:left="284" w:right="283"/>
        <w:jc w:val="both"/>
        <w:rPr>
          <w:rFonts w:ascii="Arial" w:hAnsi="Arial" w:cs="Arial"/>
          <w:i/>
          <w:iCs/>
          <w:sz w:val="22"/>
          <w:szCs w:val="22"/>
          <w:lang w:eastAsia="es-CO"/>
        </w:rPr>
      </w:pPr>
    </w:p>
    <w:p w14:paraId="4FDD6D0E" w14:textId="77777777" w:rsidR="00AB297E" w:rsidRPr="00563F6F" w:rsidRDefault="00AB297E" w:rsidP="00F475AD">
      <w:pPr>
        <w:ind w:left="-142"/>
        <w:jc w:val="both"/>
        <w:rPr>
          <w:rFonts w:ascii="Arial" w:eastAsiaTheme="minorHAnsi" w:hAnsi="Arial" w:cs="Arial"/>
          <w:b/>
          <w:bCs/>
        </w:rPr>
      </w:pPr>
    </w:p>
    <w:p w14:paraId="136A7421" w14:textId="3C70D663" w:rsidR="00271FC3" w:rsidRPr="00563F6F" w:rsidRDefault="00271FC3" w:rsidP="00F475AD">
      <w:pPr>
        <w:ind w:left="-142"/>
        <w:jc w:val="both"/>
        <w:rPr>
          <w:rFonts w:ascii="Arial" w:eastAsiaTheme="minorHAnsi" w:hAnsi="Arial" w:cs="Arial"/>
          <w:b/>
          <w:bCs/>
        </w:rPr>
      </w:pPr>
      <w:r w:rsidRPr="00563F6F">
        <w:rPr>
          <w:rFonts w:ascii="Arial" w:eastAsiaTheme="minorHAnsi" w:hAnsi="Arial" w:cs="Arial"/>
          <w:b/>
          <w:bCs/>
        </w:rPr>
        <w:t>CONCLUSIONES</w:t>
      </w:r>
    </w:p>
    <w:p w14:paraId="75F5DA8B" w14:textId="77777777" w:rsidR="00271FC3" w:rsidRPr="00563F6F" w:rsidRDefault="00271FC3" w:rsidP="00F475AD">
      <w:pPr>
        <w:ind w:left="-142"/>
        <w:jc w:val="both"/>
        <w:rPr>
          <w:rFonts w:ascii="Arial" w:eastAsiaTheme="minorHAnsi" w:hAnsi="Arial" w:cs="Arial"/>
        </w:rPr>
      </w:pPr>
    </w:p>
    <w:p w14:paraId="73CE0E6A" w14:textId="045C61FC" w:rsidR="00271FC3" w:rsidRPr="00563F6F" w:rsidRDefault="00271FC3" w:rsidP="00F475AD">
      <w:pPr>
        <w:ind w:left="-142"/>
        <w:jc w:val="both"/>
        <w:rPr>
          <w:rFonts w:ascii="Arial" w:eastAsiaTheme="minorHAnsi" w:hAnsi="Arial" w:cs="Arial"/>
        </w:rPr>
      </w:pPr>
      <w:r w:rsidRPr="00563F6F">
        <w:rPr>
          <w:rFonts w:ascii="Arial" w:eastAsiaTheme="minorHAnsi" w:hAnsi="Arial" w:cs="Arial"/>
        </w:rPr>
        <w:t xml:space="preserve">Efectuado el análisis que antecede, </w:t>
      </w:r>
      <w:r w:rsidR="004E6D22" w:rsidRPr="00563F6F">
        <w:rPr>
          <w:rFonts w:ascii="Arial" w:eastAsiaTheme="minorHAnsi" w:hAnsi="Arial" w:cs="Arial"/>
        </w:rPr>
        <w:t xml:space="preserve">esta Dirección </w:t>
      </w:r>
      <w:r w:rsidRPr="00563F6F">
        <w:rPr>
          <w:rFonts w:ascii="Arial" w:eastAsiaTheme="minorHAnsi" w:hAnsi="Arial" w:cs="Arial"/>
        </w:rPr>
        <w:t>procede a responder los interrogantes formulados</w:t>
      </w:r>
      <w:r w:rsidR="00D96DF1" w:rsidRPr="00563F6F">
        <w:rPr>
          <w:rFonts w:ascii="Arial" w:eastAsiaTheme="minorHAnsi" w:hAnsi="Arial" w:cs="Arial"/>
        </w:rPr>
        <w:t xml:space="preserve">. </w:t>
      </w:r>
    </w:p>
    <w:p w14:paraId="430BE587" w14:textId="77777777" w:rsidR="00271FC3" w:rsidRPr="00563F6F" w:rsidRDefault="00271FC3" w:rsidP="00F475AD">
      <w:pPr>
        <w:ind w:left="-142"/>
        <w:jc w:val="both"/>
        <w:rPr>
          <w:rFonts w:ascii="Arial" w:eastAsiaTheme="minorHAnsi" w:hAnsi="Arial" w:cs="Arial"/>
        </w:rPr>
      </w:pPr>
    </w:p>
    <w:p w14:paraId="314728A9" w14:textId="30E00509" w:rsidR="00536E13" w:rsidRPr="00563F6F" w:rsidRDefault="00536E13" w:rsidP="00F475AD">
      <w:pPr>
        <w:numPr>
          <w:ilvl w:val="0"/>
          <w:numId w:val="36"/>
        </w:numPr>
        <w:ind w:left="-142"/>
        <w:jc w:val="both"/>
        <w:rPr>
          <w:rFonts w:ascii="Arial" w:hAnsi="Arial" w:cs="Arial"/>
          <w:i/>
          <w:iCs/>
        </w:rPr>
      </w:pPr>
      <w:r w:rsidRPr="00563F6F">
        <w:rPr>
          <w:rFonts w:ascii="Arial" w:hAnsi="Arial" w:cs="Arial"/>
          <w:i/>
          <w:iCs/>
        </w:rPr>
        <w:t xml:space="preserve">¿Es procedente el descuento por concepto de Contribución Especial de Fondo de Vigilancia </w:t>
      </w:r>
      <w:r w:rsidR="00811EF4" w:rsidRPr="00563F6F">
        <w:rPr>
          <w:rFonts w:ascii="Arial" w:hAnsi="Arial" w:cs="Arial"/>
          <w:i/>
          <w:iCs/>
        </w:rPr>
        <w:t xml:space="preserve">(sic) </w:t>
      </w:r>
      <w:r w:rsidRPr="00563F6F">
        <w:rPr>
          <w:rFonts w:ascii="Arial" w:hAnsi="Arial" w:cs="Arial"/>
          <w:i/>
          <w:iCs/>
        </w:rPr>
        <w:t>practicado por la Caja de la Vivienda Popular al anticipo otorgado y pagado mediante Orden de Operación No. 8533 al contratista constructor UNIÓN TEMPORAL VIAL CU identificado con el NIT: 901.486.650-1 en el marco del contrato de obra No. 416-2021?</w:t>
      </w:r>
    </w:p>
    <w:p w14:paraId="2C7ACAD1" w14:textId="77777777" w:rsidR="0047070C" w:rsidRPr="00563F6F" w:rsidRDefault="0047070C" w:rsidP="00F475AD">
      <w:pPr>
        <w:ind w:left="-142"/>
        <w:jc w:val="both"/>
        <w:rPr>
          <w:rFonts w:ascii="Arial" w:hAnsi="Arial" w:cs="Arial"/>
          <w:b/>
          <w:bCs/>
        </w:rPr>
      </w:pPr>
    </w:p>
    <w:p w14:paraId="4324E4C2" w14:textId="434B2A09" w:rsidR="0047070C" w:rsidRPr="00563F6F" w:rsidRDefault="0047070C" w:rsidP="00F475AD">
      <w:pPr>
        <w:ind w:left="-142"/>
        <w:jc w:val="both"/>
        <w:rPr>
          <w:rFonts w:ascii="Arial" w:hAnsi="Arial" w:cs="Arial"/>
        </w:rPr>
      </w:pPr>
      <w:r w:rsidRPr="00563F6F">
        <w:rPr>
          <w:rFonts w:ascii="Arial" w:hAnsi="Arial" w:cs="Arial"/>
        </w:rPr>
        <w:t>S</w:t>
      </w:r>
      <w:r w:rsidR="00811EF4" w:rsidRPr="00563F6F">
        <w:rPr>
          <w:rFonts w:ascii="Arial" w:hAnsi="Arial" w:cs="Arial"/>
        </w:rPr>
        <w:t xml:space="preserve">í es </w:t>
      </w:r>
      <w:r w:rsidRPr="00563F6F">
        <w:rPr>
          <w:rFonts w:ascii="Arial" w:hAnsi="Arial" w:cs="Arial"/>
        </w:rPr>
        <w:t>procedente realizar el descuento por concepto de Contribución Especial de</w:t>
      </w:r>
      <w:r w:rsidR="00B73800" w:rsidRPr="00563F6F">
        <w:rPr>
          <w:rFonts w:ascii="Arial" w:hAnsi="Arial" w:cs="Arial"/>
        </w:rPr>
        <w:t xml:space="preserve"> los contratos de obra pública, </w:t>
      </w:r>
      <w:r w:rsidRPr="00563F6F">
        <w:rPr>
          <w:rFonts w:ascii="Arial" w:hAnsi="Arial" w:cs="Arial"/>
        </w:rPr>
        <w:t xml:space="preserve">practicado por la Caja de la Vivienda Popular al anticipo </w:t>
      </w:r>
      <w:r w:rsidRPr="00563F6F">
        <w:rPr>
          <w:rFonts w:ascii="Arial" w:hAnsi="Arial" w:cs="Arial"/>
        </w:rPr>
        <w:lastRenderedPageBreak/>
        <w:t>otorgado y pagado mediante Orden de Operación No. 8533 al contratista constructor UNIÓN TEMPORAL VIAL CU</w:t>
      </w:r>
      <w:r w:rsidR="000731DE">
        <w:rPr>
          <w:rFonts w:ascii="Arial" w:hAnsi="Arial" w:cs="Arial"/>
        </w:rPr>
        <w:t>,</w:t>
      </w:r>
      <w:r w:rsidRPr="00563F6F">
        <w:rPr>
          <w:rFonts w:ascii="Arial" w:hAnsi="Arial" w:cs="Arial"/>
        </w:rPr>
        <w:t xml:space="preserve"> identificado con el NIT: 901.486.650-1 en el marco del contrato de obra No. 416-2021.</w:t>
      </w:r>
      <w:r w:rsidR="00432FCF" w:rsidRPr="00563F6F">
        <w:rPr>
          <w:rFonts w:ascii="Arial" w:hAnsi="Arial" w:cs="Arial"/>
        </w:rPr>
        <w:t xml:space="preserve"> Lo anterior, con fundamento en lo establecido en el artículo 121 de la Ley 418 de 1997.</w:t>
      </w:r>
    </w:p>
    <w:p w14:paraId="11EFAA39" w14:textId="77777777" w:rsidR="00536E13" w:rsidRPr="00563F6F" w:rsidRDefault="00536E13" w:rsidP="00F475AD">
      <w:pPr>
        <w:ind w:left="-142"/>
        <w:jc w:val="both"/>
        <w:rPr>
          <w:rFonts w:ascii="Arial" w:hAnsi="Arial" w:cs="Arial"/>
        </w:rPr>
      </w:pPr>
    </w:p>
    <w:p w14:paraId="3262037B" w14:textId="38D443B2" w:rsidR="00536E13" w:rsidRPr="00563F6F" w:rsidRDefault="00536E13" w:rsidP="00F475AD">
      <w:pPr>
        <w:numPr>
          <w:ilvl w:val="0"/>
          <w:numId w:val="36"/>
        </w:numPr>
        <w:ind w:left="-142"/>
        <w:jc w:val="both"/>
        <w:rPr>
          <w:rFonts w:ascii="Arial" w:hAnsi="Arial" w:cs="Arial"/>
          <w:i/>
          <w:iCs/>
        </w:rPr>
      </w:pPr>
      <w:r w:rsidRPr="00563F6F">
        <w:rPr>
          <w:rFonts w:ascii="Arial" w:hAnsi="Arial" w:cs="Arial"/>
          <w:i/>
          <w:iCs/>
        </w:rPr>
        <w:t>En el evento que la anterior respuesta sea negativa, ¿Cuál es el procedimiento a realizar por parte de la Caja de la Vivienda Popular con el fin de reintegrar los recursos al contratista constructor UNIÓN TEMPORAL VIAL CU, toda vez que, los dineros se consignan a la Dirección Distrital De Tesorería de la Secretaria Distrital de Hacienda, según lo estipulado en la Resolución No. SDH-000059 de fecha 04 de abril de 2019?</w:t>
      </w:r>
    </w:p>
    <w:p w14:paraId="4235E047" w14:textId="77777777" w:rsidR="0047070C" w:rsidRPr="00563F6F" w:rsidRDefault="0047070C" w:rsidP="00F475AD">
      <w:pPr>
        <w:jc w:val="both"/>
        <w:rPr>
          <w:rFonts w:ascii="Arial" w:hAnsi="Arial" w:cs="Arial"/>
          <w:b/>
          <w:bCs/>
        </w:rPr>
      </w:pPr>
    </w:p>
    <w:p w14:paraId="2C8C9F36" w14:textId="359877F5" w:rsidR="00EC595B" w:rsidRPr="00563F6F" w:rsidRDefault="00EC595B" w:rsidP="00F475AD">
      <w:pPr>
        <w:shd w:val="clear" w:color="auto" w:fill="FFFFFF"/>
        <w:ind w:left="-142"/>
        <w:contextualSpacing/>
        <w:jc w:val="both"/>
        <w:textAlignment w:val="baseline"/>
        <w:rPr>
          <w:rFonts w:ascii="Arial" w:hAnsi="Arial" w:cs="Arial"/>
          <w:lang w:eastAsia="es-CO"/>
        </w:rPr>
      </w:pPr>
      <w:r w:rsidRPr="00563F6F">
        <w:rPr>
          <w:rFonts w:ascii="Arial" w:hAnsi="Arial" w:cs="Arial"/>
          <w:lang w:eastAsia="es-CO"/>
        </w:rPr>
        <w:t xml:space="preserve">De acuerdo con la respuesta anterior, </w:t>
      </w:r>
      <w:r w:rsidR="0032543F" w:rsidRPr="00563F6F">
        <w:rPr>
          <w:rFonts w:ascii="Arial" w:hAnsi="Arial" w:cs="Arial"/>
          <w:lang w:eastAsia="es-CO"/>
        </w:rPr>
        <w:t>no es procedente reintegrar al contratista los valores descontados</w:t>
      </w:r>
      <w:r w:rsidR="005C32B3" w:rsidRPr="00563F6F">
        <w:rPr>
          <w:rFonts w:ascii="Arial" w:hAnsi="Arial" w:cs="Arial"/>
          <w:lang w:eastAsia="es-CO"/>
        </w:rPr>
        <w:t xml:space="preserve"> de la contribución</w:t>
      </w:r>
      <w:r w:rsidR="0032543F" w:rsidRPr="00563F6F">
        <w:rPr>
          <w:rFonts w:ascii="Arial" w:hAnsi="Arial" w:cs="Arial"/>
          <w:lang w:eastAsia="es-CO"/>
        </w:rPr>
        <w:t xml:space="preserve"> en virtud del anticipo. </w:t>
      </w:r>
    </w:p>
    <w:p w14:paraId="104DEF72" w14:textId="77777777" w:rsidR="00271FC3" w:rsidRPr="00563F6F" w:rsidRDefault="00271FC3" w:rsidP="00F475AD">
      <w:pPr>
        <w:shd w:val="clear" w:color="auto" w:fill="FFFFFF"/>
        <w:ind w:left="-142"/>
        <w:contextualSpacing/>
        <w:jc w:val="both"/>
        <w:textAlignment w:val="baseline"/>
        <w:rPr>
          <w:rFonts w:ascii="Arial" w:hAnsi="Arial" w:cs="Arial"/>
          <w:lang w:eastAsia="es-CO"/>
        </w:rPr>
      </w:pPr>
    </w:p>
    <w:p w14:paraId="18E7A196" w14:textId="77777777" w:rsidR="00271FC3" w:rsidRPr="00563F6F" w:rsidRDefault="00271FC3" w:rsidP="00F475AD">
      <w:pPr>
        <w:shd w:val="clear" w:color="auto" w:fill="FFFFFF"/>
        <w:ind w:left="-142"/>
        <w:contextualSpacing/>
        <w:jc w:val="both"/>
        <w:textAlignment w:val="baseline"/>
        <w:rPr>
          <w:rFonts w:ascii="Arial" w:hAnsi="Arial" w:cs="Arial"/>
          <w:lang w:eastAsia="es-CO"/>
        </w:rPr>
      </w:pPr>
      <w:r w:rsidRPr="00563F6F">
        <w:rPr>
          <w:rFonts w:ascii="Arial" w:hAnsi="Arial" w:cs="Arial"/>
          <w:lang w:eastAsia="es-CO"/>
        </w:rPr>
        <w:t xml:space="preserve">En procura de impulsar la política de mejoramiento continuo en el procedimiento de Asesoría Jurídica de la Secretaría Distrital de Hacienda, solicito verifique si el concepto emitido contribuyó a resolver de fondo el problema jurídico planteado. De no ser así, por favor informe de manera inmediata a la Dirección Jurídica. </w:t>
      </w:r>
    </w:p>
    <w:p w14:paraId="092EC1AD" w14:textId="77777777" w:rsidR="00271FC3" w:rsidRPr="00563F6F" w:rsidRDefault="00271FC3" w:rsidP="00F475AD">
      <w:pPr>
        <w:tabs>
          <w:tab w:val="left" w:pos="1560"/>
        </w:tabs>
        <w:ind w:left="-142"/>
        <w:contextualSpacing/>
        <w:jc w:val="both"/>
        <w:rPr>
          <w:rFonts w:ascii="Arial" w:hAnsi="Arial" w:cs="Arial"/>
          <w:lang w:val="es-ES"/>
        </w:rPr>
      </w:pPr>
    </w:p>
    <w:p w14:paraId="61C8B694" w14:textId="77777777" w:rsidR="00271FC3" w:rsidRPr="00563F6F" w:rsidRDefault="00271FC3" w:rsidP="00F475AD">
      <w:pPr>
        <w:tabs>
          <w:tab w:val="left" w:pos="1560"/>
        </w:tabs>
        <w:ind w:left="-142"/>
        <w:contextualSpacing/>
        <w:jc w:val="both"/>
        <w:rPr>
          <w:rFonts w:ascii="Arial" w:hAnsi="Arial" w:cs="Arial"/>
          <w:lang w:val="es-ES"/>
        </w:rPr>
      </w:pPr>
      <w:r w:rsidRPr="00563F6F">
        <w:rPr>
          <w:rFonts w:ascii="Arial" w:hAnsi="Arial" w:cs="Arial"/>
          <w:lang w:val="es-ES"/>
        </w:rPr>
        <w:t xml:space="preserve">Cordialmente, </w:t>
      </w:r>
    </w:p>
    <w:p w14:paraId="6C113676" w14:textId="77777777" w:rsidR="00271FC3" w:rsidRPr="00563F6F" w:rsidRDefault="00271FC3" w:rsidP="00F475AD">
      <w:pPr>
        <w:tabs>
          <w:tab w:val="left" w:pos="1560"/>
        </w:tabs>
        <w:ind w:left="-142"/>
        <w:contextualSpacing/>
        <w:jc w:val="both"/>
        <w:rPr>
          <w:rFonts w:ascii="Arial" w:hAnsi="Arial" w:cs="Arial"/>
          <w:lang w:val="es-ES"/>
        </w:rPr>
      </w:pPr>
    </w:p>
    <w:p w14:paraId="6B633FE1" w14:textId="5EA360DF" w:rsidR="00271FC3" w:rsidRDefault="00271FC3" w:rsidP="00F475AD">
      <w:pPr>
        <w:ind w:left="-142" w:right="-142"/>
        <w:contextualSpacing/>
        <w:jc w:val="both"/>
        <w:rPr>
          <w:rFonts w:ascii="Arial" w:hAnsi="Arial" w:cs="Arial"/>
        </w:rPr>
      </w:pPr>
    </w:p>
    <w:p w14:paraId="3CC835EF" w14:textId="5863D86F" w:rsidR="000731DE" w:rsidRDefault="000731DE" w:rsidP="00F475AD">
      <w:pPr>
        <w:ind w:left="-142" w:right="-142"/>
        <w:contextualSpacing/>
        <w:jc w:val="both"/>
        <w:rPr>
          <w:rFonts w:ascii="Arial" w:hAnsi="Arial" w:cs="Arial"/>
        </w:rPr>
      </w:pPr>
    </w:p>
    <w:p w14:paraId="09730567" w14:textId="77777777" w:rsidR="000731DE" w:rsidRPr="00563F6F" w:rsidRDefault="000731DE" w:rsidP="00F475AD">
      <w:pPr>
        <w:ind w:left="-142" w:right="-142"/>
        <w:contextualSpacing/>
        <w:jc w:val="both"/>
        <w:rPr>
          <w:rFonts w:ascii="Arial" w:hAnsi="Arial" w:cs="Arial"/>
        </w:rPr>
      </w:pPr>
    </w:p>
    <w:p w14:paraId="5996940C" w14:textId="77777777" w:rsidR="00271FC3" w:rsidRPr="00563F6F" w:rsidRDefault="00271FC3" w:rsidP="00F475AD">
      <w:pPr>
        <w:ind w:left="-142" w:right="-142"/>
        <w:contextualSpacing/>
        <w:jc w:val="both"/>
        <w:rPr>
          <w:rFonts w:ascii="Arial" w:hAnsi="Arial" w:cs="Arial"/>
        </w:rPr>
      </w:pPr>
    </w:p>
    <w:p w14:paraId="7EA7218A" w14:textId="77777777" w:rsidR="00271FC3" w:rsidRPr="00563F6F" w:rsidRDefault="00271FC3" w:rsidP="00F475AD">
      <w:pPr>
        <w:ind w:left="-142" w:right="-142"/>
        <w:contextualSpacing/>
        <w:jc w:val="both"/>
        <w:rPr>
          <w:rFonts w:ascii="Arial" w:hAnsi="Arial" w:cs="Arial"/>
          <w:b/>
          <w:lang w:val="es-ES"/>
        </w:rPr>
      </w:pPr>
      <w:r w:rsidRPr="00563F6F">
        <w:rPr>
          <w:rFonts w:ascii="Arial" w:hAnsi="Arial" w:cs="Arial"/>
          <w:b/>
          <w:lang w:val="es-ES"/>
        </w:rPr>
        <w:t>LEONARDO ARTURO PAZOS GALINDO</w:t>
      </w:r>
    </w:p>
    <w:p w14:paraId="6CBEBA35" w14:textId="77777777" w:rsidR="00271FC3" w:rsidRPr="00563F6F" w:rsidRDefault="00271FC3" w:rsidP="00F475AD">
      <w:pPr>
        <w:ind w:left="-142" w:right="-142"/>
        <w:contextualSpacing/>
        <w:jc w:val="both"/>
        <w:rPr>
          <w:rFonts w:ascii="Arial" w:hAnsi="Arial" w:cs="Arial"/>
          <w:lang w:val="es-ES"/>
        </w:rPr>
      </w:pPr>
      <w:r w:rsidRPr="00563F6F">
        <w:rPr>
          <w:rFonts w:ascii="Arial" w:hAnsi="Arial" w:cs="Arial"/>
          <w:lang w:val="es-ES"/>
        </w:rPr>
        <w:t xml:space="preserve">Director Jurídico </w:t>
      </w:r>
    </w:p>
    <w:p w14:paraId="6BFA6A47" w14:textId="77777777" w:rsidR="00271FC3" w:rsidRPr="00563F6F" w:rsidRDefault="001E236F" w:rsidP="00F475AD">
      <w:pPr>
        <w:ind w:left="-142" w:right="-142"/>
        <w:contextualSpacing/>
        <w:jc w:val="both"/>
        <w:rPr>
          <w:rFonts w:ascii="Arial" w:hAnsi="Arial" w:cs="Arial"/>
          <w:u w:val="single"/>
          <w:lang w:val="es-ES"/>
        </w:rPr>
      </w:pPr>
      <w:hyperlink r:id="rId16" w:history="1">
        <w:r w:rsidR="00271FC3" w:rsidRPr="00563F6F">
          <w:rPr>
            <w:rFonts w:ascii="Arial" w:hAnsi="Arial" w:cs="Arial"/>
            <w:u w:val="single"/>
            <w:lang w:val="es-ES"/>
          </w:rPr>
          <w:t>lpazos@shd.gov.co</w:t>
        </w:r>
      </w:hyperlink>
    </w:p>
    <w:p w14:paraId="00CC1CB5" w14:textId="738BBD8C" w:rsidR="00271FC3" w:rsidRPr="00563F6F" w:rsidRDefault="00271FC3" w:rsidP="00F475AD">
      <w:pPr>
        <w:ind w:left="1418" w:right="-142" w:hanging="1418"/>
        <w:contextualSpacing/>
        <w:jc w:val="both"/>
        <w:rPr>
          <w:rFonts w:ascii="Arial" w:hAnsi="Arial" w:cs="Arial"/>
          <w:lang w:val="es-ES"/>
        </w:rPr>
      </w:pPr>
    </w:p>
    <w:p w14:paraId="76876765" w14:textId="77777777" w:rsidR="00271FC3" w:rsidRPr="00563F6F" w:rsidRDefault="00271FC3" w:rsidP="00F475AD">
      <w:pPr>
        <w:ind w:left="1418" w:right="-142" w:hanging="1418"/>
        <w:contextualSpacing/>
        <w:jc w:val="both"/>
        <w:rPr>
          <w:rFonts w:ascii="Arial" w:hAnsi="Arial" w:cs="Arial"/>
          <w:sz w:val="20"/>
          <w:szCs w:val="20"/>
          <w:lang w:val="es-ES"/>
        </w:rPr>
      </w:pPr>
      <w:r w:rsidRPr="00563F6F">
        <w:rPr>
          <w:rFonts w:ascii="Arial" w:hAnsi="Arial" w:cs="Arial"/>
          <w:sz w:val="20"/>
          <w:szCs w:val="20"/>
          <w:lang w:val="es-ES"/>
        </w:rPr>
        <w:t xml:space="preserve">Revisó: </w:t>
      </w:r>
      <w:r w:rsidRPr="00563F6F">
        <w:rPr>
          <w:rFonts w:ascii="Arial" w:hAnsi="Arial" w:cs="Arial"/>
          <w:sz w:val="20"/>
          <w:szCs w:val="20"/>
          <w:lang w:val="es-ES"/>
        </w:rPr>
        <w:tab/>
        <w:t>Manuel Ávila Olarte</w:t>
      </w:r>
    </w:p>
    <w:p w14:paraId="43969589" w14:textId="77777777" w:rsidR="00271FC3" w:rsidRPr="00563F6F" w:rsidRDefault="00271FC3" w:rsidP="00F475AD">
      <w:pPr>
        <w:ind w:left="1418" w:right="-142" w:hanging="1418"/>
        <w:contextualSpacing/>
        <w:jc w:val="both"/>
        <w:rPr>
          <w:rFonts w:ascii="Arial" w:hAnsi="Arial" w:cs="Arial"/>
          <w:sz w:val="20"/>
          <w:szCs w:val="20"/>
          <w:lang w:val="es-ES"/>
        </w:rPr>
      </w:pPr>
      <w:r w:rsidRPr="00563F6F">
        <w:rPr>
          <w:rFonts w:ascii="Arial" w:hAnsi="Arial" w:cs="Arial"/>
          <w:sz w:val="20"/>
          <w:szCs w:val="20"/>
          <w:lang w:val="es-ES"/>
        </w:rPr>
        <w:tab/>
      </w:r>
    </w:p>
    <w:p w14:paraId="02F38EC0" w14:textId="306E19F8" w:rsidR="00271FC3" w:rsidRPr="00563F6F" w:rsidRDefault="00271FC3" w:rsidP="00F475AD">
      <w:pPr>
        <w:ind w:left="1418" w:right="-142" w:hanging="1418"/>
        <w:contextualSpacing/>
        <w:rPr>
          <w:rFonts w:ascii="Arial" w:hAnsi="Arial" w:cs="Arial"/>
          <w:sz w:val="20"/>
          <w:szCs w:val="20"/>
        </w:rPr>
      </w:pPr>
      <w:r w:rsidRPr="00563F6F">
        <w:rPr>
          <w:rFonts w:ascii="Arial" w:hAnsi="Arial" w:cs="Arial"/>
          <w:sz w:val="20"/>
          <w:szCs w:val="20"/>
          <w:lang w:val="es-ES"/>
        </w:rPr>
        <w:t>Proyectó:</w:t>
      </w:r>
      <w:r w:rsidRPr="00563F6F">
        <w:rPr>
          <w:rFonts w:ascii="Arial" w:hAnsi="Arial" w:cs="Arial"/>
          <w:sz w:val="20"/>
          <w:szCs w:val="20"/>
          <w:lang w:val="es-ES"/>
        </w:rPr>
        <w:tab/>
      </w:r>
      <w:bookmarkEnd w:id="0"/>
      <w:r w:rsidR="009A0027" w:rsidRPr="00563F6F">
        <w:rPr>
          <w:rFonts w:ascii="Arial" w:hAnsi="Arial" w:cs="Arial"/>
          <w:sz w:val="20"/>
          <w:szCs w:val="20"/>
          <w:lang w:val="es-ES"/>
        </w:rPr>
        <w:t>Liliana Pérez Alarcón</w:t>
      </w:r>
    </w:p>
    <w:p w14:paraId="54B81764" w14:textId="77777777" w:rsidR="00271FC3" w:rsidRPr="00563F6F" w:rsidRDefault="00271FC3" w:rsidP="00F475AD">
      <w:pPr>
        <w:rPr>
          <w:rFonts w:ascii="Arial" w:hAnsi="Arial" w:cs="Arial"/>
        </w:rPr>
      </w:pPr>
    </w:p>
    <w:sectPr w:rsidR="00271FC3" w:rsidRPr="00563F6F" w:rsidSect="006D0B01">
      <w:headerReference w:type="default" r:id="rId17"/>
      <w:footerReference w:type="even" r:id="rId18"/>
      <w:footerReference w:type="default" r:id="rId19"/>
      <w:pgSz w:w="12240" w:h="15840" w:code="1"/>
      <w:pgMar w:top="1701" w:right="1467" w:bottom="1701"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9409" w14:textId="77777777" w:rsidR="001E236F" w:rsidRDefault="001E236F" w:rsidP="00271FC3">
      <w:r>
        <w:separator/>
      </w:r>
    </w:p>
  </w:endnote>
  <w:endnote w:type="continuationSeparator" w:id="0">
    <w:p w14:paraId="0E4C24AC" w14:textId="77777777" w:rsidR="001E236F" w:rsidRDefault="001E236F" w:rsidP="0027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8727" w14:textId="77777777" w:rsidR="002A4340" w:rsidRDefault="001E236F"/>
  <w:p w14:paraId="50BA8DA7" w14:textId="77777777" w:rsidR="002A4340" w:rsidRDefault="00A97140">
    <w:r>
      <w:rPr>
        <w:noProof/>
      </w:rPr>
      <mc:AlternateContent>
        <mc:Choice Requires="wps">
          <w:drawing>
            <wp:anchor distT="0" distB="0" distL="114300" distR="114300" simplePos="0" relativeHeight="251659264" behindDoc="0" locked="0" layoutInCell="1" allowOverlap="1" wp14:anchorId="3670BBD3" wp14:editId="1DE2653F">
              <wp:simplePos x="0" y="0"/>
              <wp:positionH relativeFrom="column">
                <wp:posOffset>2181860</wp:posOffset>
              </wp:positionH>
              <wp:positionV relativeFrom="paragraph">
                <wp:posOffset>9441180</wp:posOffset>
              </wp:positionV>
              <wp:extent cx="3928110" cy="408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wps:spPr>
                    <wps:txbx>
                      <w:txbxContent>
                        <w:p w14:paraId="7DE44F1A"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Sede Administrativa CAD Carrera 30 No. 25-90</w:t>
                          </w:r>
                        </w:p>
                        <w:p w14:paraId="3ABB8B16"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47D3A189"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PiedepginaCar"/>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1CE8D6BE" w14:textId="77777777" w:rsidR="002A4340" w:rsidRDefault="001E236F" w:rsidP="002A4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0BBD3"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Hj3wEAAKEDAAAOAAAAZHJzL2Uyb0RvYy54bWysU8GO0zAQvSPxD5bvNEkp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" filled="f" stroked="f">
              <v:textbox>
                <w:txbxContent>
                  <w:p w14:paraId="7DE44F1A"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Sede Administrativa CAD Carrera 30 No. 25-90</w:t>
                    </w:r>
                  </w:p>
                  <w:p w14:paraId="3ABB8B16"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47D3A189"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PiedepginaCar"/>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1CE8D6BE" w14:textId="77777777" w:rsidR="002A4340" w:rsidRDefault="00AC0F57" w:rsidP="002A434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028B" w14:textId="4D185DF7" w:rsidR="002A4340" w:rsidRDefault="008C4CCB" w:rsidP="002A4340">
    <w:pPr>
      <w:pStyle w:val="Ttulo2"/>
    </w:pPr>
    <w:r>
      <w:rPr>
        <w:noProof/>
      </w:rPr>
      <w:drawing>
        <wp:anchor distT="0" distB="0" distL="114300" distR="114300" simplePos="0" relativeHeight="251666432" behindDoc="0" locked="0" layoutInCell="1" allowOverlap="0" wp14:anchorId="3AD99EED" wp14:editId="05B9DD0C">
          <wp:simplePos x="0" y="0"/>
          <wp:positionH relativeFrom="page">
            <wp:posOffset>6052185</wp:posOffset>
          </wp:positionH>
          <wp:positionV relativeFrom="page">
            <wp:posOffset>9074785</wp:posOffset>
          </wp:positionV>
          <wp:extent cx="744855" cy="724535"/>
          <wp:effectExtent l="0" t="0" r="0" b="0"/>
          <wp:wrapSquare wrapText="bothSides"/>
          <wp:docPr id="2" name="Picture 20"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Picture 20" descr="Logotipo&#10;&#10;Descripción generada automáticamente"/>
                  <pic:cNvPicPr/>
                </pic:nvPicPr>
                <pic:blipFill>
                  <a:blip r:embed="rId1"/>
                  <a:stretch>
                    <a:fillRect/>
                  </a:stretch>
                </pic:blipFill>
                <pic:spPr>
                  <a:xfrm>
                    <a:off x="0" y="0"/>
                    <a:ext cx="744855" cy="724535"/>
                  </a:xfrm>
                  <a:prstGeom prst="rect">
                    <a:avLst/>
                  </a:prstGeom>
                </pic:spPr>
              </pic:pic>
            </a:graphicData>
          </a:graphic>
        </wp:anchor>
      </w:drawing>
    </w:r>
    <w:r>
      <w:rPr>
        <w:noProof/>
      </w:rPr>
      <w:drawing>
        <wp:anchor distT="0" distB="0" distL="114300" distR="114300" simplePos="0" relativeHeight="251664384" behindDoc="0" locked="0" layoutInCell="1" allowOverlap="0" wp14:anchorId="4F5A88D3" wp14:editId="793F3613">
          <wp:simplePos x="0" y="0"/>
          <wp:positionH relativeFrom="page">
            <wp:posOffset>775335</wp:posOffset>
          </wp:positionH>
          <wp:positionV relativeFrom="page">
            <wp:posOffset>9100185</wp:posOffset>
          </wp:positionV>
          <wp:extent cx="2971800" cy="724535"/>
          <wp:effectExtent l="0" t="0" r="0" b="0"/>
          <wp:wrapSquare wrapText="bothSides"/>
          <wp:docPr id="1" name="Picture 18"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 name="Picture 18" descr="Forma&#10;&#10;Descripción generada automáticamente con confianza media"/>
                  <pic:cNvPicPr/>
                </pic:nvPicPr>
                <pic:blipFill>
                  <a:blip r:embed="rId2"/>
                  <a:stretch>
                    <a:fillRect/>
                  </a:stretch>
                </pic:blipFill>
                <pic:spPr>
                  <a:xfrm>
                    <a:off x="0" y="0"/>
                    <a:ext cx="2971800" cy="724535"/>
                  </a:xfrm>
                  <a:prstGeom prst="rect">
                    <a:avLst/>
                  </a:prstGeom>
                </pic:spPr>
              </pic:pic>
            </a:graphicData>
          </a:graphic>
        </wp:anchor>
      </w:drawing>
    </w:r>
    <w:r w:rsidR="00A97140">
      <w:rPr>
        <w:noProof/>
      </w:rPr>
      <mc:AlternateContent>
        <mc:Choice Requires="wps">
          <w:drawing>
            <wp:anchor distT="45720" distB="45720" distL="114300" distR="114300" simplePos="0" relativeHeight="251662336" behindDoc="0" locked="0" layoutInCell="1" allowOverlap="1" wp14:anchorId="1E5C4AFB" wp14:editId="7765BE5A">
              <wp:simplePos x="0" y="0"/>
              <wp:positionH relativeFrom="page">
                <wp:posOffset>6957060</wp:posOffset>
              </wp:positionH>
              <wp:positionV relativeFrom="paragraph">
                <wp:posOffset>-254000</wp:posOffset>
              </wp:positionV>
              <wp:extent cx="580390" cy="60388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603885"/>
                      </a:xfrm>
                      <a:prstGeom prst="rect">
                        <a:avLst/>
                      </a:prstGeom>
                      <a:solidFill>
                        <a:srgbClr val="FFFFFF"/>
                      </a:solidFill>
                      <a:ln w="9525">
                        <a:noFill/>
                        <a:miter lim="800000"/>
                        <a:headEnd/>
                        <a:tailEnd/>
                      </a:ln>
                    </wps:spPr>
                    <wps:txbx>
                      <w:txbxContent>
                        <w:p w14:paraId="5C8712D6" w14:textId="77777777" w:rsidR="002A4340" w:rsidRDefault="00A97140">
                          <w:r>
                            <w:fldChar w:fldCharType="begin"/>
                          </w:r>
                          <w:r>
                            <w:instrText>PAGE   \* MERGEFORMAT</w:instrText>
                          </w:r>
                          <w:r>
                            <w:fldChar w:fldCharType="separate"/>
                          </w:r>
                          <w:r>
                            <w:rPr>
                              <w:lang w:val="es-ES"/>
                            </w:rPr>
                            <w:t>1</w:t>
                          </w:r>
                          <w:r>
                            <w:fldChar w:fldCharType="end"/>
                          </w:r>
                        </w:p>
                        <w:p w14:paraId="44EA8F5B" w14:textId="77777777" w:rsidR="002A4340" w:rsidRPr="005E167C" w:rsidRDefault="00A97140">
                          <w:pPr>
                            <w:rPr>
                              <w:sz w:val="18"/>
                              <w:szCs w:val="18"/>
                            </w:rPr>
                          </w:pPr>
                          <w:r w:rsidRPr="005E167C">
                            <w:rPr>
                              <w:sz w:val="18"/>
                              <w:szCs w:val="18"/>
                            </w:rPr>
                            <w:t xml:space="preserve">35-F.01      </w:t>
                          </w:r>
                          <w:r>
                            <w:rPr>
                              <w:sz w:val="18"/>
                              <w:szCs w:val="18"/>
                            </w:rPr>
                            <w:t xml:space="preserve">  V</w:t>
                          </w:r>
                          <w:r w:rsidRPr="005E167C">
                            <w:rPr>
                              <w:sz w:val="18"/>
                              <w:szCs w:val="1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C4AFB" id="_x0000_t202" coordsize="21600,21600" o:spt="202" path="m,l,21600r21600,l21600,xe">
              <v:stroke joinstyle="miter"/>
              <v:path gradientshapeok="t" o:connecttype="rect"/>
            </v:shapetype>
            <v:shape id="Cuadro de texto 2" o:spid="_x0000_s1027" type="#_x0000_t202" style="position:absolute;margin-left:547.8pt;margin-top:-20pt;width:45.7pt;height:47.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" stroked="f">
              <v:textbox>
                <w:txbxContent>
                  <w:p w14:paraId="5C8712D6" w14:textId="77777777" w:rsidR="002A4340" w:rsidRDefault="00A97140">
                    <w:r>
                      <w:fldChar w:fldCharType="begin"/>
                    </w:r>
                    <w:r>
                      <w:instrText>PAGE   \* MERGEFORMAT</w:instrText>
                    </w:r>
                    <w:r>
                      <w:fldChar w:fldCharType="separate"/>
                    </w:r>
                    <w:r>
                      <w:rPr>
                        <w:lang w:val="es-ES"/>
                      </w:rPr>
                      <w:t>1</w:t>
                    </w:r>
                    <w:r>
                      <w:fldChar w:fldCharType="end"/>
                    </w:r>
                  </w:p>
                  <w:p w14:paraId="44EA8F5B" w14:textId="77777777" w:rsidR="002A4340" w:rsidRPr="005E167C" w:rsidRDefault="00A97140">
                    <w:pPr>
                      <w:rPr>
                        <w:sz w:val="18"/>
                        <w:szCs w:val="18"/>
                      </w:rPr>
                    </w:pPr>
                    <w:r w:rsidRPr="005E167C">
                      <w:rPr>
                        <w:sz w:val="18"/>
                        <w:szCs w:val="18"/>
                      </w:rPr>
                      <w:t xml:space="preserve">35-F.01      </w:t>
                    </w:r>
                    <w:r>
                      <w:rPr>
                        <w:sz w:val="18"/>
                        <w:szCs w:val="18"/>
                      </w:rPr>
                      <w:t xml:space="preserve">  V</w:t>
                    </w:r>
                    <w:r w:rsidRPr="005E167C">
                      <w:rPr>
                        <w:sz w:val="18"/>
                        <w:szCs w:val="18"/>
                      </w:rPr>
                      <w:t>.10</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9A52" w14:textId="77777777" w:rsidR="001E236F" w:rsidRDefault="001E236F" w:rsidP="00271FC3">
      <w:r>
        <w:separator/>
      </w:r>
    </w:p>
  </w:footnote>
  <w:footnote w:type="continuationSeparator" w:id="0">
    <w:p w14:paraId="19740C45" w14:textId="77777777" w:rsidR="001E236F" w:rsidRDefault="001E236F" w:rsidP="00271FC3">
      <w:r>
        <w:continuationSeparator/>
      </w:r>
    </w:p>
  </w:footnote>
  <w:footnote w:id="1">
    <w:p w14:paraId="3A658CE3" w14:textId="0F297199" w:rsidR="0037495D" w:rsidRDefault="0037495D" w:rsidP="00497212">
      <w:pPr>
        <w:pStyle w:val="Textonotapie"/>
        <w:jc w:val="both"/>
      </w:pPr>
      <w:r>
        <w:rPr>
          <w:rStyle w:val="Refdenotaalpie"/>
        </w:rPr>
        <w:footnoteRef/>
      </w:r>
      <w:r>
        <w:t xml:space="preserve"> </w:t>
      </w:r>
      <w:r w:rsidR="000D076D" w:rsidRPr="00FA1E4B">
        <w:rPr>
          <w:rFonts w:ascii="Arial" w:hAnsi="Arial" w:cs="Arial"/>
        </w:rPr>
        <w:t xml:space="preserve">Dirección Jurídica de la Secretaría Distrital de Hacienda, Concepto emitido el 12 </w:t>
      </w:r>
      <w:r w:rsidR="000D076D" w:rsidRPr="00FA1E4B">
        <w:rPr>
          <w:rFonts w:ascii="Arial" w:hAnsi="Arial" w:cs="Arial"/>
          <w:lang w:eastAsia="es-CO"/>
        </w:rPr>
        <w:t>de marzo  de 2021, identificado con el Radicado 2021EE032175</w:t>
      </w:r>
    </w:p>
  </w:footnote>
  <w:footnote w:id="2">
    <w:p w14:paraId="2B2CF98C" w14:textId="24C62492" w:rsidR="00430537" w:rsidRPr="00497212" w:rsidRDefault="00430537" w:rsidP="00497212">
      <w:pPr>
        <w:pStyle w:val="Textonotapie"/>
        <w:jc w:val="both"/>
        <w:rPr>
          <w:rFonts w:ascii="Arial" w:hAnsi="Arial" w:cs="Arial"/>
        </w:rPr>
      </w:pPr>
      <w:r w:rsidRPr="00497212">
        <w:rPr>
          <w:rStyle w:val="Refdenotaalpie"/>
          <w:rFonts w:ascii="Arial" w:hAnsi="Arial" w:cs="Arial"/>
        </w:rPr>
        <w:footnoteRef/>
      </w:r>
      <w:r w:rsidRPr="00497212">
        <w:rPr>
          <w:rFonts w:ascii="Arial" w:hAnsi="Arial" w:cs="Arial"/>
        </w:rPr>
        <w:t xml:space="preserve"> </w:t>
      </w:r>
      <w:r w:rsidR="001A7DAA" w:rsidRPr="00B4256A">
        <w:rPr>
          <w:rFonts w:ascii="Arial" w:eastAsia="Courier New" w:hAnsi="Arial" w:cs="Arial"/>
        </w:rPr>
        <w:t xml:space="preserve">Consejo de Estado,   Sala de Consulta y Servicio Civil, </w:t>
      </w:r>
      <w:r w:rsidR="00722FFB" w:rsidRPr="00B4256A">
        <w:rPr>
          <w:rFonts w:ascii="Arial" w:eastAsia="Courier New" w:hAnsi="Arial" w:cs="Arial"/>
        </w:rPr>
        <w:t xml:space="preserve">Concepto de 10 de julio  de 2018, </w:t>
      </w:r>
      <w:r w:rsidR="00B4256A" w:rsidRPr="00B4256A">
        <w:rPr>
          <w:rFonts w:ascii="Arial" w:hAnsi="Arial" w:cs="Arial"/>
        </w:rPr>
        <w:t xml:space="preserve">Consejero Ponente Germán Alberto Bula Escobar, </w:t>
      </w:r>
      <w:r w:rsidR="00B4256A" w:rsidRPr="00B4256A">
        <w:rPr>
          <w:rFonts w:ascii="Arial" w:hAnsi="Arial" w:cs="Arial"/>
          <w:bCs/>
        </w:rPr>
        <w:t>Radicación interna: 2356 Número Único:</w:t>
      </w:r>
      <w:r w:rsidR="00B4256A" w:rsidRPr="00B4256A">
        <w:rPr>
          <w:rFonts w:ascii="Arial" w:hAnsi="Arial" w:cs="Arial"/>
          <w:b/>
        </w:rPr>
        <w:t xml:space="preserve"> </w:t>
      </w:r>
      <w:r w:rsidR="00B4256A" w:rsidRPr="00B4256A">
        <w:rPr>
          <w:rFonts w:ascii="Arial" w:hAnsi="Arial" w:cs="Arial"/>
        </w:rPr>
        <w:t xml:space="preserve">11001-03-06-000-2017-00187-00. </w:t>
      </w:r>
    </w:p>
  </w:footnote>
  <w:footnote w:id="3">
    <w:p w14:paraId="04C8B6A3" w14:textId="77777777" w:rsidR="008B62B5" w:rsidRDefault="008B62B5" w:rsidP="008B62B5">
      <w:pPr>
        <w:pStyle w:val="footnotedescription"/>
        <w:spacing w:line="246" w:lineRule="auto"/>
        <w:ind w:right="101"/>
      </w:pPr>
      <w:r>
        <w:rPr>
          <w:rStyle w:val="footnotemark"/>
        </w:rPr>
        <w:footnoteRef/>
      </w:r>
      <w:r>
        <w:t xml:space="preserve"> Ley 1738 de 2014 (diciembre 18), </w:t>
      </w:r>
      <w:r>
        <w:rPr>
          <w:i/>
        </w:rPr>
        <w:t>"Por medio de la cual se prorroga la ley 418 de 1997, prorrogada y modificada por las leyes 548 de 1999, 782 de 2002, 1106 de 2006 y 1421 de 2010"</w:t>
      </w:r>
      <w:r>
        <w:t xml:space="preserve"> </w:t>
      </w:r>
      <w:r>
        <w:rPr>
          <w:vertAlign w:val="superscript"/>
        </w:rPr>
        <w:t>31</w:t>
      </w:r>
      <w:r>
        <w:t xml:space="preserve"> El artículo 6º de la Ley 1106 de 2006 también contempló una tarifa del 3% sobre las concesiones otorgadas por las entidades territoriales para ceder el recaudo de sus impuestos o contribuciones, pero fue derogado por la Ley 1738 de 2014, artículo 8º. </w:t>
      </w:r>
      <w:r>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2A40" w14:textId="77777777" w:rsidR="002A4340" w:rsidRPr="00B50543" w:rsidRDefault="00A97140">
    <w:pPr>
      <w:jc w:val="center"/>
    </w:pPr>
    <w:r>
      <w:rPr>
        <w:noProof/>
      </w:rPr>
      <w:drawing>
        <wp:anchor distT="0" distB="0" distL="114300" distR="114300" simplePos="0" relativeHeight="251660288" behindDoc="1" locked="0" layoutInCell="1" allowOverlap="1" wp14:anchorId="1F00BA21" wp14:editId="79F13AFC">
          <wp:simplePos x="0" y="0"/>
          <wp:positionH relativeFrom="page">
            <wp:align>left</wp:align>
          </wp:positionH>
          <wp:positionV relativeFrom="paragraph">
            <wp:posOffset>-359410</wp:posOffset>
          </wp:positionV>
          <wp:extent cx="7880985" cy="1235075"/>
          <wp:effectExtent l="0" t="0" r="0" b="0"/>
          <wp:wrapNone/>
          <wp:docPr id="34" name="Imagen 34"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reloj&#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985" cy="1235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C56"/>
    <w:multiLevelType w:val="hybridMultilevel"/>
    <w:tmpl w:val="B7C474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9C5AF6"/>
    <w:multiLevelType w:val="hybridMultilevel"/>
    <w:tmpl w:val="AEA45CDC"/>
    <w:lvl w:ilvl="0" w:tplc="F61E7096">
      <w:start w:val="1"/>
      <w:numFmt w:val="lowerLetter"/>
      <w:lvlText w:val="%1)"/>
      <w:lvlJc w:val="left"/>
      <w:pPr>
        <w:ind w:left="1742" w:hanging="1014"/>
      </w:pPr>
      <w:rPr>
        <w:rFonts w:ascii="Arial" w:eastAsia="Arial" w:hAnsi="Arial" w:cs="Arial" w:hint="default"/>
        <w:i/>
        <w:iCs/>
        <w:w w:val="99"/>
        <w:sz w:val="24"/>
        <w:szCs w:val="24"/>
        <w:lang w:val="es-ES" w:eastAsia="en-US" w:bidi="ar-SA"/>
      </w:rPr>
    </w:lvl>
    <w:lvl w:ilvl="1" w:tplc="BE8C9134">
      <w:numFmt w:val="bullet"/>
      <w:lvlText w:val="•"/>
      <w:lvlJc w:val="left"/>
      <w:pPr>
        <w:ind w:left="2534" w:hanging="1014"/>
      </w:pPr>
      <w:rPr>
        <w:rFonts w:hint="default"/>
        <w:lang w:val="es-ES" w:eastAsia="en-US" w:bidi="ar-SA"/>
      </w:rPr>
    </w:lvl>
    <w:lvl w:ilvl="2" w:tplc="0EE4A3E4">
      <w:numFmt w:val="bullet"/>
      <w:lvlText w:val="•"/>
      <w:lvlJc w:val="left"/>
      <w:pPr>
        <w:ind w:left="3328" w:hanging="1014"/>
      </w:pPr>
      <w:rPr>
        <w:rFonts w:hint="default"/>
        <w:lang w:val="es-ES" w:eastAsia="en-US" w:bidi="ar-SA"/>
      </w:rPr>
    </w:lvl>
    <w:lvl w:ilvl="3" w:tplc="FE128208">
      <w:numFmt w:val="bullet"/>
      <w:lvlText w:val="•"/>
      <w:lvlJc w:val="left"/>
      <w:pPr>
        <w:ind w:left="4122" w:hanging="1014"/>
      </w:pPr>
      <w:rPr>
        <w:rFonts w:hint="default"/>
        <w:lang w:val="es-ES" w:eastAsia="en-US" w:bidi="ar-SA"/>
      </w:rPr>
    </w:lvl>
    <w:lvl w:ilvl="4" w:tplc="F5682218">
      <w:numFmt w:val="bullet"/>
      <w:lvlText w:val="•"/>
      <w:lvlJc w:val="left"/>
      <w:pPr>
        <w:ind w:left="4916" w:hanging="1014"/>
      </w:pPr>
      <w:rPr>
        <w:rFonts w:hint="default"/>
        <w:lang w:val="es-ES" w:eastAsia="en-US" w:bidi="ar-SA"/>
      </w:rPr>
    </w:lvl>
    <w:lvl w:ilvl="5" w:tplc="7EFE7566">
      <w:numFmt w:val="bullet"/>
      <w:lvlText w:val="•"/>
      <w:lvlJc w:val="left"/>
      <w:pPr>
        <w:ind w:left="5710" w:hanging="1014"/>
      </w:pPr>
      <w:rPr>
        <w:rFonts w:hint="default"/>
        <w:lang w:val="es-ES" w:eastAsia="en-US" w:bidi="ar-SA"/>
      </w:rPr>
    </w:lvl>
    <w:lvl w:ilvl="6" w:tplc="28327842">
      <w:numFmt w:val="bullet"/>
      <w:lvlText w:val="•"/>
      <w:lvlJc w:val="left"/>
      <w:pPr>
        <w:ind w:left="6504" w:hanging="1014"/>
      </w:pPr>
      <w:rPr>
        <w:rFonts w:hint="default"/>
        <w:lang w:val="es-ES" w:eastAsia="en-US" w:bidi="ar-SA"/>
      </w:rPr>
    </w:lvl>
    <w:lvl w:ilvl="7" w:tplc="14D48032">
      <w:numFmt w:val="bullet"/>
      <w:lvlText w:val="•"/>
      <w:lvlJc w:val="left"/>
      <w:pPr>
        <w:ind w:left="7298" w:hanging="1014"/>
      </w:pPr>
      <w:rPr>
        <w:rFonts w:hint="default"/>
        <w:lang w:val="es-ES" w:eastAsia="en-US" w:bidi="ar-SA"/>
      </w:rPr>
    </w:lvl>
    <w:lvl w:ilvl="8" w:tplc="8632CA1E">
      <w:numFmt w:val="bullet"/>
      <w:lvlText w:val="•"/>
      <w:lvlJc w:val="left"/>
      <w:pPr>
        <w:ind w:left="8092" w:hanging="1014"/>
      </w:pPr>
      <w:rPr>
        <w:rFonts w:hint="default"/>
        <w:lang w:val="es-ES" w:eastAsia="en-US" w:bidi="ar-SA"/>
      </w:rPr>
    </w:lvl>
  </w:abstractNum>
  <w:abstractNum w:abstractNumId="2" w15:restartNumberingAfterBreak="0">
    <w:nsid w:val="0B503F16"/>
    <w:multiLevelType w:val="hybridMultilevel"/>
    <w:tmpl w:val="F22299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684863"/>
    <w:multiLevelType w:val="hybridMultilevel"/>
    <w:tmpl w:val="886884DC"/>
    <w:lvl w:ilvl="0" w:tplc="737E1F36">
      <w:start w:val="1"/>
      <w:numFmt w:val="lowerLetter"/>
      <w:lvlText w:val="%1)"/>
      <w:lvlJc w:val="left"/>
      <w:pPr>
        <w:ind w:left="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5F820EE">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5C4A732">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9F4A58C">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0A6FF2A">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FF4049A">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F82E526">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4D2A37C">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1D0C954">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20920CD"/>
    <w:multiLevelType w:val="hybridMultilevel"/>
    <w:tmpl w:val="D2303A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976B48"/>
    <w:multiLevelType w:val="hybridMultilevel"/>
    <w:tmpl w:val="1430F2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5D6628D"/>
    <w:multiLevelType w:val="hybridMultilevel"/>
    <w:tmpl w:val="99467C0A"/>
    <w:lvl w:ilvl="0" w:tplc="F22404B2">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7E67552"/>
    <w:multiLevelType w:val="hybridMultilevel"/>
    <w:tmpl w:val="43B6FF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514E61"/>
    <w:multiLevelType w:val="hybridMultilevel"/>
    <w:tmpl w:val="35BE27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E041A0"/>
    <w:multiLevelType w:val="hybridMultilevel"/>
    <w:tmpl w:val="8F52C842"/>
    <w:lvl w:ilvl="0" w:tplc="15F23024">
      <w:start w:val="1"/>
      <w:numFmt w:val="decimal"/>
      <w:lvlText w:val="%1."/>
      <w:lvlJc w:val="left"/>
      <w:pPr>
        <w:ind w:left="882" w:hanging="360"/>
      </w:pPr>
      <w:rPr>
        <w:rFonts w:ascii="Arial MT" w:eastAsia="Arial MT" w:hAnsi="Arial MT" w:cs="Arial MT" w:hint="default"/>
        <w:w w:val="100"/>
        <w:sz w:val="24"/>
        <w:szCs w:val="24"/>
        <w:lang w:val="es-ES" w:eastAsia="en-US" w:bidi="ar-SA"/>
      </w:rPr>
    </w:lvl>
    <w:lvl w:ilvl="1" w:tplc="411AE362">
      <w:numFmt w:val="bullet"/>
      <w:lvlText w:val="•"/>
      <w:lvlJc w:val="left"/>
      <w:pPr>
        <w:ind w:left="1760" w:hanging="360"/>
      </w:pPr>
      <w:rPr>
        <w:rFonts w:hint="default"/>
        <w:lang w:val="es-ES" w:eastAsia="en-US" w:bidi="ar-SA"/>
      </w:rPr>
    </w:lvl>
    <w:lvl w:ilvl="2" w:tplc="DF7637AE">
      <w:numFmt w:val="bullet"/>
      <w:lvlText w:val="•"/>
      <w:lvlJc w:val="left"/>
      <w:pPr>
        <w:ind w:left="2640" w:hanging="360"/>
      </w:pPr>
      <w:rPr>
        <w:rFonts w:hint="default"/>
        <w:lang w:val="es-ES" w:eastAsia="en-US" w:bidi="ar-SA"/>
      </w:rPr>
    </w:lvl>
    <w:lvl w:ilvl="3" w:tplc="67BACC54">
      <w:numFmt w:val="bullet"/>
      <w:lvlText w:val="•"/>
      <w:lvlJc w:val="left"/>
      <w:pPr>
        <w:ind w:left="3520" w:hanging="360"/>
      </w:pPr>
      <w:rPr>
        <w:rFonts w:hint="default"/>
        <w:lang w:val="es-ES" w:eastAsia="en-US" w:bidi="ar-SA"/>
      </w:rPr>
    </w:lvl>
    <w:lvl w:ilvl="4" w:tplc="33583B2E">
      <w:numFmt w:val="bullet"/>
      <w:lvlText w:val="•"/>
      <w:lvlJc w:val="left"/>
      <w:pPr>
        <w:ind w:left="4400" w:hanging="360"/>
      </w:pPr>
      <w:rPr>
        <w:rFonts w:hint="default"/>
        <w:lang w:val="es-ES" w:eastAsia="en-US" w:bidi="ar-SA"/>
      </w:rPr>
    </w:lvl>
    <w:lvl w:ilvl="5" w:tplc="AD24A942">
      <w:numFmt w:val="bullet"/>
      <w:lvlText w:val="•"/>
      <w:lvlJc w:val="left"/>
      <w:pPr>
        <w:ind w:left="5280" w:hanging="360"/>
      </w:pPr>
      <w:rPr>
        <w:rFonts w:hint="default"/>
        <w:lang w:val="es-ES" w:eastAsia="en-US" w:bidi="ar-SA"/>
      </w:rPr>
    </w:lvl>
    <w:lvl w:ilvl="6" w:tplc="C954509A">
      <w:numFmt w:val="bullet"/>
      <w:lvlText w:val="•"/>
      <w:lvlJc w:val="left"/>
      <w:pPr>
        <w:ind w:left="6160" w:hanging="360"/>
      </w:pPr>
      <w:rPr>
        <w:rFonts w:hint="default"/>
        <w:lang w:val="es-ES" w:eastAsia="en-US" w:bidi="ar-SA"/>
      </w:rPr>
    </w:lvl>
    <w:lvl w:ilvl="7" w:tplc="B204D428">
      <w:numFmt w:val="bullet"/>
      <w:lvlText w:val="•"/>
      <w:lvlJc w:val="left"/>
      <w:pPr>
        <w:ind w:left="7040" w:hanging="360"/>
      </w:pPr>
      <w:rPr>
        <w:rFonts w:hint="default"/>
        <w:lang w:val="es-ES" w:eastAsia="en-US" w:bidi="ar-SA"/>
      </w:rPr>
    </w:lvl>
    <w:lvl w:ilvl="8" w:tplc="7B2CE66E">
      <w:numFmt w:val="bullet"/>
      <w:lvlText w:val="•"/>
      <w:lvlJc w:val="left"/>
      <w:pPr>
        <w:ind w:left="7920" w:hanging="360"/>
      </w:pPr>
      <w:rPr>
        <w:rFonts w:hint="default"/>
        <w:lang w:val="es-ES" w:eastAsia="en-US" w:bidi="ar-SA"/>
      </w:rPr>
    </w:lvl>
  </w:abstractNum>
  <w:abstractNum w:abstractNumId="10" w15:restartNumberingAfterBreak="0">
    <w:nsid w:val="1ECC3AE7"/>
    <w:multiLevelType w:val="multilevel"/>
    <w:tmpl w:val="C1EACB74"/>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775F3F"/>
    <w:multiLevelType w:val="hybridMultilevel"/>
    <w:tmpl w:val="4B742466"/>
    <w:lvl w:ilvl="0" w:tplc="82F8EF8A">
      <w:start w:val="7"/>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BE29E0"/>
    <w:multiLevelType w:val="hybridMultilevel"/>
    <w:tmpl w:val="07CA312A"/>
    <w:lvl w:ilvl="0" w:tplc="FA0085E4">
      <w:start w:val="1"/>
      <w:numFmt w:val="lowerLetter"/>
      <w:lvlText w:val="%1)"/>
      <w:lvlJc w:val="left"/>
      <w:pPr>
        <w:ind w:left="786" w:hanging="360"/>
      </w:pPr>
      <w:rPr>
        <w:rFonts w:ascii="Arial" w:hAnsi="Arial" w:cs="Arial"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3" w15:restartNumberingAfterBreak="0">
    <w:nsid w:val="31332B04"/>
    <w:multiLevelType w:val="hybridMultilevel"/>
    <w:tmpl w:val="CB702E06"/>
    <w:lvl w:ilvl="0" w:tplc="3F1C9D5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1C05CDB"/>
    <w:multiLevelType w:val="multilevel"/>
    <w:tmpl w:val="1CD4748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621E2E"/>
    <w:multiLevelType w:val="hybridMultilevel"/>
    <w:tmpl w:val="2696D584"/>
    <w:lvl w:ilvl="0" w:tplc="BB9277E2">
      <w:start w:val="1"/>
      <w:numFmt w:val="decimal"/>
      <w:lvlText w:val="%1."/>
      <w:lvlJc w:val="left"/>
      <w:pPr>
        <w:ind w:left="882" w:hanging="360"/>
      </w:pPr>
      <w:rPr>
        <w:rFonts w:ascii="Arial" w:eastAsia="Arial" w:hAnsi="Arial" w:cs="Arial" w:hint="default"/>
        <w:b/>
        <w:bCs/>
        <w:w w:val="100"/>
        <w:sz w:val="24"/>
        <w:szCs w:val="24"/>
        <w:lang w:val="es-ES" w:eastAsia="en-US" w:bidi="ar-SA"/>
      </w:rPr>
    </w:lvl>
    <w:lvl w:ilvl="1" w:tplc="B44699D2">
      <w:start w:val="1"/>
      <w:numFmt w:val="lowerLetter"/>
      <w:lvlText w:val="%2)"/>
      <w:lvlJc w:val="left"/>
      <w:pPr>
        <w:ind w:left="1009" w:hanging="281"/>
      </w:pPr>
      <w:rPr>
        <w:rFonts w:hint="default"/>
        <w:b/>
        <w:bCs/>
        <w:i/>
        <w:iCs/>
        <w:w w:val="99"/>
        <w:lang w:val="es-ES" w:eastAsia="en-US" w:bidi="ar-SA"/>
      </w:rPr>
    </w:lvl>
    <w:lvl w:ilvl="2" w:tplc="7B6E9EB0">
      <w:numFmt w:val="bullet"/>
      <w:lvlText w:val="•"/>
      <w:lvlJc w:val="left"/>
      <w:pPr>
        <w:ind w:left="1964" w:hanging="281"/>
      </w:pPr>
      <w:rPr>
        <w:rFonts w:hint="default"/>
        <w:lang w:val="es-ES" w:eastAsia="en-US" w:bidi="ar-SA"/>
      </w:rPr>
    </w:lvl>
    <w:lvl w:ilvl="3" w:tplc="2ED61FEA">
      <w:numFmt w:val="bullet"/>
      <w:lvlText w:val="•"/>
      <w:lvlJc w:val="left"/>
      <w:pPr>
        <w:ind w:left="2928" w:hanging="281"/>
      </w:pPr>
      <w:rPr>
        <w:rFonts w:hint="default"/>
        <w:lang w:val="es-ES" w:eastAsia="en-US" w:bidi="ar-SA"/>
      </w:rPr>
    </w:lvl>
    <w:lvl w:ilvl="4" w:tplc="97865562">
      <w:numFmt w:val="bullet"/>
      <w:lvlText w:val="•"/>
      <w:lvlJc w:val="left"/>
      <w:pPr>
        <w:ind w:left="3893" w:hanging="281"/>
      </w:pPr>
      <w:rPr>
        <w:rFonts w:hint="default"/>
        <w:lang w:val="es-ES" w:eastAsia="en-US" w:bidi="ar-SA"/>
      </w:rPr>
    </w:lvl>
    <w:lvl w:ilvl="5" w:tplc="EDAC7ED0">
      <w:numFmt w:val="bullet"/>
      <w:lvlText w:val="•"/>
      <w:lvlJc w:val="left"/>
      <w:pPr>
        <w:ind w:left="4857" w:hanging="281"/>
      </w:pPr>
      <w:rPr>
        <w:rFonts w:hint="default"/>
        <w:lang w:val="es-ES" w:eastAsia="en-US" w:bidi="ar-SA"/>
      </w:rPr>
    </w:lvl>
    <w:lvl w:ilvl="6" w:tplc="861A1116">
      <w:numFmt w:val="bullet"/>
      <w:lvlText w:val="•"/>
      <w:lvlJc w:val="left"/>
      <w:pPr>
        <w:ind w:left="5822" w:hanging="281"/>
      </w:pPr>
      <w:rPr>
        <w:rFonts w:hint="default"/>
        <w:lang w:val="es-ES" w:eastAsia="en-US" w:bidi="ar-SA"/>
      </w:rPr>
    </w:lvl>
    <w:lvl w:ilvl="7" w:tplc="BC4C328E">
      <w:numFmt w:val="bullet"/>
      <w:lvlText w:val="•"/>
      <w:lvlJc w:val="left"/>
      <w:pPr>
        <w:ind w:left="6786" w:hanging="281"/>
      </w:pPr>
      <w:rPr>
        <w:rFonts w:hint="default"/>
        <w:lang w:val="es-ES" w:eastAsia="en-US" w:bidi="ar-SA"/>
      </w:rPr>
    </w:lvl>
    <w:lvl w:ilvl="8" w:tplc="DD8CBDF2">
      <w:numFmt w:val="bullet"/>
      <w:lvlText w:val="•"/>
      <w:lvlJc w:val="left"/>
      <w:pPr>
        <w:ind w:left="7751" w:hanging="281"/>
      </w:pPr>
      <w:rPr>
        <w:rFonts w:hint="default"/>
        <w:lang w:val="es-ES" w:eastAsia="en-US" w:bidi="ar-SA"/>
      </w:rPr>
    </w:lvl>
  </w:abstractNum>
  <w:abstractNum w:abstractNumId="16" w15:restartNumberingAfterBreak="0">
    <w:nsid w:val="35D274B8"/>
    <w:multiLevelType w:val="hybridMultilevel"/>
    <w:tmpl w:val="FB7C4CFC"/>
    <w:lvl w:ilvl="0" w:tplc="AEBAB0FA">
      <w:start w:val="28"/>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077A25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11EA8C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1DEC72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B02ABB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3BA0BEC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98846C5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34841C6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C5AA85E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17" w15:restartNumberingAfterBreak="0">
    <w:nsid w:val="391E6C55"/>
    <w:multiLevelType w:val="hybridMultilevel"/>
    <w:tmpl w:val="E7681E6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183E17"/>
    <w:multiLevelType w:val="hybridMultilevel"/>
    <w:tmpl w:val="95B015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4564BF9"/>
    <w:multiLevelType w:val="multilevel"/>
    <w:tmpl w:val="C9E033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E165970"/>
    <w:multiLevelType w:val="hybridMultilevel"/>
    <w:tmpl w:val="E1287F56"/>
    <w:lvl w:ilvl="0" w:tplc="8944679E">
      <w:start w:val="1"/>
      <w:numFmt w:val="decimal"/>
      <w:lvlText w:val="%1."/>
      <w:lvlJc w:val="left"/>
      <w:pPr>
        <w:ind w:left="1209"/>
      </w:pPr>
      <w:rPr>
        <w:rFonts w:ascii="Arial" w:eastAsia="Times New Roman" w:hAnsi="Arial" w:cs="Arial" w:hint="default"/>
        <w:b w:val="0"/>
        <w:bCs/>
        <w:i w:val="0"/>
        <w:strike w:val="0"/>
        <w:dstrike w:val="0"/>
        <w:color w:val="000000"/>
        <w:sz w:val="24"/>
        <w:szCs w:val="24"/>
        <w:u w:val="none" w:color="000000"/>
        <w:bdr w:val="none" w:sz="0" w:space="0" w:color="auto"/>
        <w:shd w:val="clear" w:color="auto" w:fill="auto"/>
        <w:vertAlign w:val="baseline"/>
      </w:rPr>
    </w:lvl>
    <w:lvl w:ilvl="1" w:tplc="81FE8704">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3E7100">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0AA67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BC398C">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4CDCD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78E12E">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DA238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9E3EEE">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51F86559"/>
    <w:multiLevelType w:val="hybridMultilevel"/>
    <w:tmpl w:val="E87ED9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3941DF5"/>
    <w:multiLevelType w:val="hybridMultilevel"/>
    <w:tmpl w:val="429A8B1E"/>
    <w:lvl w:ilvl="0" w:tplc="240A000B">
      <w:start w:val="1"/>
      <w:numFmt w:val="bullet"/>
      <w:lvlText w:val=""/>
      <w:lvlJc w:val="left"/>
      <w:pPr>
        <w:ind w:left="790" w:hanging="360"/>
      </w:pPr>
      <w:rPr>
        <w:rFonts w:ascii="Wingdings" w:hAnsi="Wingdings" w:hint="default"/>
      </w:rPr>
    </w:lvl>
    <w:lvl w:ilvl="1" w:tplc="240A0003" w:tentative="1">
      <w:start w:val="1"/>
      <w:numFmt w:val="bullet"/>
      <w:lvlText w:val="o"/>
      <w:lvlJc w:val="left"/>
      <w:pPr>
        <w:ind w:left="1510" w:hanging="360"/>
      </w:pPr>
      <w:rPr>
        <w:rFonts w:ascii="Courier New" w:hAnsi="Courier New" w:cs="Courier New" w:hint="default"/>
      </w:rPr>
    </w:lvl>
    <w:lvl w:ilvl="2" w:tplc="240A0005" w:tentative="1">
      <w:start w:val="1"/>
      <w:numFmt w:val="bullet"/>
      <w:lvlText w:val=""/>
      <w:lvlJc w:val="left"/>
      <w:pPr>
        <w:ind w:left="2230" w:hanging="360"/>
      </w:pPr>
      <w:rPr>
        <w:rFonts w:ascii="Wingdings" w:hAnsi="Wingdings" w:hint="default"/>
      </w:rPr>
    </w:lvl>
    <w:lvl w:ilvl="3" w:tplc="240A0001" w:tentative="1">
      <w:start w:val="1"/>
      <w:numFmt w:val="bullet"/>
      <w:lvlText w:val=""/>
      <w:lvlJc w:val="left"/>
      <w:pPr>
        <w:ind w:left="2950" w:hanging="360"/>
      </w:pPr>
      <w:rPr>
        <w:rFonts w:ascii="Symbol" w:hAnsi="Symbol" w:hint="default"/>
      </w:rPr>
    </w:lvl>
    <w:lvl w:ilvl="4" w:tplc="240A0003" w:tentative="1">
      <w:start w:val="1"/>
      <w:numFmt w:val="bullet"/>
      <w:lvlText w:val="o"/>
      <w:lvlJc w:val="left"/>
      <w:pPr>
        <w:ind w:left="3670" w:hanging="360"/>
      </w:pPr>
      <w:rPr>
        <w:rFonts w:ascii="Courier New" w:hAnsi="Courier New" w:cs="Courier New" w:hint="default"/>
      </w:rPr>
    </w:lvl>
    <w:lvl w:ilvl="5" w:tplc="240A0005" w:tentative="1">
      <w:start w:val="1"/>
      <w:numFmt w:val="bullet"/>
      <w:lvlText w:val=""/>
      <w:lvlJc w:val="left"/>
      <w:pPr>
        <w:ind w:left="4390" w:hanging="360"/>
      </w:pPr>
      <w:rPr>
        <w:rFonts w:ascii="Wingdings" w:hAnsi="Wingdings" w:hint="default"/>
      </w:rPr>
    </w:lvl>
    <w:lvl w:ilvl="6" w:tplc="240A0001" w:tentative="1">
      <w:start w:val="1"/>
      <w:numFmt w:val="bullet"/>
      <w:lvlText w:val=""/>
      <w:lvlJc w:val="left"/>
      <w:pPr>
        <w:ind w:left="5110" w:hanging="360"/>
      </w:pPr>
      <w:rPr>
        <w:rFonts w:ascii="Symbol" w:hAnsi="Symbol" w:hint="default"/>
      </w:rPr>
    </w:lvl>
    <w:lvl w:ilvl="7" w:tplc="240A0003" w:tentative="1">
      <w:start w:val="1"/>
      <w:numFmt w:val="bullet"/>
      <w:lvlText w:val="o"/>
      <w:lvlJc w:val="left"/>
      <w:pPr>
        <w:ind w:left="5830" w:hanging="360"/>
      </w:pPr>
      <w:rPr>
        <w:rFonts w:ascii="Courier New" w:hAnsi="Courier New" w:cs="Courier New" w:hint="default"/>
      </w:rPr>
    </w:lvl>
    <w:lvl w:ilvl="8" w:tplc="240A0005" w:tentative="1">
      <w:start w:val="1"/>
      <w:numFmt w:val="bullet"/>
      <w:lvlText w:val=""/>
      <w:lvlJc w:val="left"/>
      <w:pPr>
        <w:ind w:left="6550" w:hanging="360"/>
      </w:pPr>
      <w:rPr>
        <w:rFonts w:ascii="Wingdings" w:hAnsi="Wingdings" w:hint="default"/>
      </w:rPr>
    </w:lvl>
  </w:abstractNum>
  <w:abstractNum w:abstractNumId="23" w15:restartNumberingAfterBreak="0">
    <w:nsid w:val="53B5061E"/>
    <w:multiLevelType w:val="hybridMultilevel"/>
    <w:tmpl w:val="2ADED3B2"/>
    <w:lvl w:ilvl="0" w:tplc="0C0A000F">
      <w:start w:val="1"/>
      <w:numFmt w:val="decimal"/>
      <w:lvlText w:val="%1."/>
      <w:lvlJc w:val="left"/>
      <w:pPr>
        <w:tabs>
          <w:tab w:val="num" w:pos="720"/>
        </w:tabs>
        <w:ind w:left="720" w:hanging="360"/>
      </w:pPr>
    </w:lvl>
    <w:lvl w:ilvl="1" w:tplc="046E5E14">
      <w:start w:val="1"/>
      <w:numFmt w:val="lowerRoman"/>
      <w:lvlText w:val="%2."/>
      <w:lvlJc w:val="right"/>
      <w:pPr>
        <w:tabs>
          <w:tab w:val="num" w:pos="1440"/>
        </w:tabs>
        <w:ind w:left="1440" w:hanging="360"/>
      </w:pPr>
      <w:rPr>
        <w:vertAlign w:val="baseli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CC304A"/>
    <w:multiLevelType w:val="hybridMultilevel"/>
    <w:tmpl w:val="709A5D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63339A9"/>
    <w:multiLevelType w:val="multilevel"/>
    <w:tmpl w:val="A018676E"/>
    <w:lvl w:ilvl="0">
      <w:start w:val="2"/>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98916C4"/>
    <w:multiLevelType w:val="multilevel"/>
    <w:tmpl w:val="A5AADB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BB3265E"/>
    <w:multiLevelType w:val="hybridMultilevel"/>
    <w:tmpl w:val="B37ADE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294687"/>
    <w:multiLevelType w:val="multilevel"/>
    <w:tmpl w:val="3C444F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0E3429A"/>
    <w:multiLevelType w:val="hybridMultilevel"/>
    <w:tmpl w:val="BCFA42C4"/>
    <w:lvl w:ilvl="0" w:tplc="CC6E1194">
      <w:start w:val="1"/>
      <w:numFmt w:val="decimal"/>
      <w:lvlText w:val="%1."/>
      <w:lvlJc w:val="left"/>
      <w:pPr>
        <w:ind w:left="882" w:hanging="360"/>
      </w:pPr>
      <w:rPr>
        <w:rFonts w:ascii="Arial MT" w:eastAsia="Arial MT" w:hAnsi="Arial MT" w:cs="Arial MT" w:hint="default"/>
        <w:w w:val="100"/>
        <w:sz w:val="24"/>
        <w:szCs w:val="24"/>
        <w:lang w:val="es-ES" w:eastAsia="en-US" w:bidi="ar-SA"/>
      </w:rPr>
    </w:lvl>
    <w:lvl w:ilvl="1" w:tplc="A678F88A">
      <w:numFmt w:val="bullet"/>
      <w:lvlText w:val="•"/>
      <w:lvlJc w:val="left"/>
      <w:pPr>
        <w:ind w:left="1760" w:hanging="360"/>
      </w:pPr>
      <w:rPr>
        <w:rFonts w:hint="default"/>
        <w:lang w:val="es-ES" w:eastAsia="en-US" w:bidi="ar-SA"/>
      </w:rPr>
    </w:lvl>
    <w:lvl w:ilvl="2" w:tplc="7A3852B8">
      <w:numFmt w:val="bullet"/>
      <w:lvlText w:val="•"/>
      <w:lvlJc w:val="left"/>
      <w:pPr>
        <w:ind w:left="2640" w:hanging="360"/>
      </w:pPr>
      <w:rPr>
        <w:rFonts w:hint="default"/>
        <w:lang w:val="es-ES" w:eastAsia="en-US" w:bidi="ar-SA"/>
      </w:rPr>
    </w:lvl>
    <w:lvl w:ilvl="3" w:tplc="CF4ADFEC">
      <w:numFmt w:val="bullet"/>
      <w:lvlText w:val="•"/>
      <w:lvlJc w:val="left"/>
      <w:pPr>
        <w:ind w:left="3520" w:hanging="360"/>
      </w:pPr>
      <w:rPr>
        <w:rFonts w:hint="default"/>
        <w:lang w:val="es-ES" w:eastAsia="en-US" w:bidi="ar-SA"/>
      </w:rPr>
    </w:lvl>
    <w:lvl w:ilvl="4" w:tplc="094870AA">
      <w:numFmt w:val="bullet"/>
      <w:lvlText w:val="•"/>
      <w:lvlJc w:val="left"/>
      <w:pPr>
        <w:ind w:left="4400" w:hanging="360"/>
      </w:pPr>
      <w:rPr>
        <w:rFonts w:hint="default"/>
        <w:lang w:val="es-ES" w:eastAsia="en-US" w:bidi="ar-SA"/>
      </w:rPr>
    </w:lvl>
    <w:lvl w:ilvl="5" w:tplc="A55C370E">
      <w:numFmt w:val="bullet"/>
      <w:lvlText w:val="•"/>
      <w:lvlJc w:val="left"/>
      <w:pPr>
        <w:ind w:left="5280" w:hanging="360"/>
      </w:pPr>
      <w:rPr>
        <w:rFonts w:hint="default"/>
        <w:lang w:val="es-ES" w:eastAsia="en-US" w:bidi="ar-SA"/>
      </w:rPr>
    </w:lvl>
    <w:lvl w:ilvl="6" w:tplc="7FA45622">
      <w:numFmt w:val="bullet"/>
      <w:lvlText w:val="•"/>
      <w:lvlJc w:val="left"/>
      <w:pPr>
        <w:ind w:left="6160" w:hanging="360"/>
      </w:pPr>
      <w:rPr>
        <w:rFonts w:hint="default"/>
        <w:lang w:val="es-ES" w:eastAsia="en-US" w:bidi="ar-SA"/>
      </w:rPr>
    </w:lvl>
    <w:lvl w:ilvl="7" w:tplc="CE16D6CA">
      <w:numFmt w:val="bullet"/>
      <w:lvlText w:val="•"/>
      <w:lvlJc w:val="left"/>
      <w:pPr>
        <w:ind w:left="7040" w:hanging="360"/>
      </w:pPr>
      <w:rPr>
        <w:rFonts w:hint="default"/>
        <w:lang w:val="es-ES" w:eastAsia="en-US" w:bidi="ar-SA"/>
      </w:rPr>
    </w:lvl>
    <w:lvl w:ilvl="8" w:tplc="9D4CD4AE">
      <w:numFmt w:val="bullet"/>
      <w:lvlText w:val="•"/>
      <w:lvlJc w:val="left"/>
      <w:pPr>
        <w:ind w:left="7920" w:hanging="360"/>
      </w:pPr>
      <w:rPr>
        <w:rFonts w:hint="default"/>
        <w:lang w:val="es-ES" w:eastAsia="en-US" w:bidi="ar-SA"/>
      </w:rPr>
    </w:lvl>
  </w:abstractNum>
  <w:abstractNum w:abstractNumId="30" w15:restartNumberingAfterBreak="0">
    <w:nsid w:val="620473F1"/>
    <w:multiLevelType w:val="hybridMultilevel"/>
    <w:tmpl w:val="8B7C8510"/>
    <w:lvl w:ilvl="0" w:tplc="484034D4">
      <w:start w:val="1"/>
      <w:numFmt w:val="decimal"/>
      <w:lvlText w:val="%1."/>
      <w:lvlJc w:val="left"/>
      <w:pPr>
        <w:ind w:left="882" w:hanging="360"/>
      </w:pPr>
      <w:rPr>
        <w:rFonts w:ascii="Arial MT" w:eastAsia="Arial MT" w:hAnsi="Arial MT" w:cs="Arial MT" w:hint="default"/>
        <w:w w:val="100"/>
        <w:sz w:val="24"/>
        <w:szCs w:val="24"/>
        <w:lang w:val="es-ES" w:eastAsia="en-US" w:bidi="ar-SA"/>
      </w:rPr>
    </w:lvl>
    <w:lvl w:ilvl="1" w:tplc="3B128450">
      <w:numFmt w:val="bullet"/>
      <w:lvlText w:val="•"/>
      <w:lvlJc w:val="left"/>
      <w:pPr>
        <w:ind w:left="1760" w:hanging="360"/>
      </w:pPr>
      <w:rPr>
        <w:rFonts w:hint="default"/>
        <w:lang w:val="es-ES" w:eastAsia="en-US" w:bidi="ar-SA"/>
      </w:rPr>
    </w:lvl>
    <w:lvl w:ilvl="2" w:tplc="7542F098">
      <w:numFmt w:val="bullet"/>
      <w:lvlText w:val="•"/>
      <w:lvlJc w:val="left"/>
      <w:pPr>
        <w:ind w:left="2640" w:hanging="360"/>
      </w:pPr>
      <w:rPr>
        <w:rFonts w:hint="default"/>
        <w:lang w:val="es-ES" w:eastAsia="en-US" w:bidi="ar-SA"/>
      </w:rPr>
    </w:lvl>
    <w:lvl w:ilvl="3" w:tplc="B4B6327C">
      <w:numFmt w:val="bullet"/>
      <w:lvlText w:val="•"/>
      <w:lvlJc w:val="left"/>
      <w:pPr>
        <w:ind w:left="3520" w:hanging="360"/>
      </w:pPr>
      <w:rPr>
        <w:rFonts w:hint="default"/>
        <w:lang w:val="es-ES" w:eastAsia="en-US" w:bidi="ar-SA"/>
      </w:rPr>
    </w:lvl>
    <w:lvl w:ilvl="4" w:tplc="4C7A60D2">
      <w:numFmt w:val="bullet"/>
      <w:lvlText w:val="•"/>
      <w:lvlJc w:val="left"/>
      <w:pPr>
        <w:ind w:left="4400" w:hanging="360"/>
      </w:pPr>
      <w:rPr>
        <w:rFonts w:hint="default"/>
        <w:lang w:val="es-ES" w:eastAsia="en-US" w:bidi="ar-SA"/>
      </w:rPr>
    </w:lvl>
    <w:lvl w:ilvl="5" w:tplc="B318500E">
      <w:numFmt w:val="bullet"/>
      <w:lvlText w:val="•"/>
      <w:lvlJc w:val="left"/>
      <w:pPr>
        <w:ind w:left="5280" w:hanging="360"/>
      </w:pPr>
      <w:rPr>
        <w:rFonts w:hint="default"/>
        <w:lang w:val="es-ES" w:eastAsia="en-US" w:bidi="ar-SA"/>
      </w:rPr>
    </w:lvl>
    <w:lvl w:ilvl="6" w:tplc="867843EA">
      <w:numFmt w:val="bullet"/>
      <w:lvlText w:val="•"/>
      <w:lvlJc w:val="left"/>
      <w:pPr>
        <w:ind w:left="6160" w:hanging="360"/>
      </w:pPr>
      <w:rPr>
        <w:rFonts w:hint="default"/>
        <w:lang w:val="es-ES" w:eastAsia="en-US" w:bidi="ar-SA"/>
      </w:rPr>
    </w:lvl>
    <w:lvl w:ilvl="7" w:tplc="F88A834C">
      <w:numFmt w:val="bullet"/>
      <w:lvlText w:val="•"/>
      <w:lvlJc w:val="left"/>
      <w:pPr>
        <w:ind w:left="7040" w:hanging="360"/>
      </w:pPr>
      <w:rPr>
        <w:rFonts w:hint="default"/>
        <w:lang w:val="es-ES" w:eastAsia="en-US" w:bidi="ar-SA"/>
      </w:rPr>
    </w:lvl>
    <w:lvl w:ilvl="8" w:tplc="818C4A62">
      <w:numFmt w:val="bullet"/>
      <w:lvlText w:val="•"/>
      <w:lvlJc w:val="left"/>
      <w:pPr>
        <w:ind w:left="7920" w:hanging="360"/>
      </w:pPr>
      <w:rPr>
        <w:rFonts w:hint="default"/>
        <w:lang w:val="es-ES" w:eastAsia="en-US" w:bidi="ar-SA"/>
      </w:rPr>
    </w:lvl>
  </w:abstractNum>
  <w:abstractNum w:abstractNumId="31" w15:restartNumberingAfterBreak="0">
    <w:nsid w:val="71534C7D"/>
    <w:multiLevelType w:val="hybridMultilevel"/>
    <w:tmpl w:val="CDD05D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8BD399C"/>
    <w:multiLevelType w:val="hybridMultilevel"/>
    <w:tmpl w:val="C46AA7B8"/>
    <w:lvl w:ilvl="0" w:tplc="CC847530">
      <w:start w:val="1"/>
      <w:numFmt w:val="lowerLetter"/>
      <w:lvlText w:val="%1)"/>
      <w:lvlJc w:val="left"/>
      <w:pPr>
        <w:ind w:left="1742" w:hanging="1014"/>
      </w:pPr>
      <w:rPr>
        <w:rFonts w:ascii="Arial" w:eastAsia="Arial" w:hAnsi="Arial" w:cs="Arial" w:hint="default"/>
        <w:i/>
        <w:iCs/>
        <w:w w:val="99"/>
        <w:sz w:val="24"/>
        <w:szCs w:val="24"/>
        <w:lang w:val="es-ES" w:eastAsia="en-US" w:bidi="ar-SA"/>
      </w:rPr>
    </w:lvl>
    <w:lvl w:ilvl="1" w:tplc="44E448B6">
      <w:numFmt w:val="bullet"/>
      <w:lvlText w:val="•"/>
      <w:lvlJc w:val="left"/>
      <w:pPr>
        <w:ind w:left="2534" w:hanging="1014"/>
      </w:pPr>
      <w:rPr>
        <w:rFonts w:hint="default"/>
        <w:lang w:val="es-ES" w:eastAsia="en-US" w:bidi="ar-SA"/>
      </w:rPr>
    </w:lvl>
    <w:lvl w:ilvl="2" w:tplc="C74C5BC0">
      <w:numFmt w:val="bullet"/>
      <w:lvlText w:val="•"/>
      <w:lvlJc w:val="left"/>
      <w:pPr>
        <w:ind w:left="3328" w:hanging="1014"/>
      </w:pPr>
      <w:rPr>
        <w:rFonts w:hint="default"/>
        <w:lang w:val="es-ES" w:eastAsia="en-US" w:bidi="ar-SA"/>
      </w:rPr>
    </w:lvl>
    <w:lvl w:ilvl="3" w:tplc="54F4B0CA">
      <w:numFmt w:val="bullet"/>
      <w:lvlText w:val="•"/>
      <w:lvlJc w:val="left"/>
      <w:pPr>
        <w:ind w:left="4122" w:hanging="1014"/>
      </w:pPr>
      <w:rPr>
        <w:rFonts w:hint="default"/>
        <w:lang w:val="es-ES" w:eastAsia="en-US" w:bidi="ar-SA"/>
      </w:rPr>
    </w:lvl>
    <w:lvl w:ilvl="4" w:tplc="A524FE7A">
      <w:numFmt w:val="bullet"/>
      <w:lvlText w:val="•"/>
      <w:lvlJc w:val="left"/>
      <w:pPr>
        <w:ind w:left="4916" w:hanging="1014"/>
      </w:pPr>
      <w:rPr>
        <w:rFonts w:hint="default"/>
        <w:lang w:val="es-ES" w:eastAsia="en-US" w:bidi="ar-SA"/>
      </w:rPr>
    </w:lvl>
    <w:lvl w:ilvl="5" w:tplc="335E0776">
      <w:numFmt w:val="bullet"/>
      <w:lvlText w:val="•"/>
      <w:lvlJc w:val="left"/>
      <w:pPr>
        <w:ind w:left="5710" w:hanging="1014"/>
      </w:pPr>
      <w:rPr>
        <w:rFonts w:hint="default"/>
        <w:lang w:val="es-ES" w:eastAsia="en-US" w:bidi="ar-SA"/>
      </w:rPr>
    </w:lvl>
    <w:lvl w:ilvl="6" w:tplc="9C644126">
      <w:numFmt w:val="bullet"/>
      <w:lvlText w:val="•"/>
      <w:lvlJc w:val="left"/>
      <w:pPr>
        <w:ind w:left="6504" w:hanging="1014"/>
      </w:pPr>
      <w:rPr>
        <w:rFonts w:hint="default"/>
        <w:lang w:val="es-ES" w:eastAsia="en-US" w:bidi="ar-SA"/>
      </w:rPr>
    </w:lvl>
    <w:lvl w:ilvl="7" w:tplc="ABDA64C8">
      <w:numFmt w:val="bullet"/>
      <w:lvlText w:val="•"/>
      <w:lvlJc w:val="left"/>
      <w:pPr>
        <w:ind w:left="7298" w:hanging="1014"/>
      </w:pPr>
      <w:rPr>
        <w:rFonts w:hint="default"/>
        <w:lang w:val="es-ES" w:eastAsia="en-US" w:bidi="ar-SA"/>
      </w:rPr>
    </w:lvl>
    <w:lvl w:ilvl="8" w:tplc="DA44DD44">
      <w:numFmt w:val="bullet"/>
      <w:lvlText w:val="•"/>
      <w:lvlJc w:val="left"/>
      <w:pPr>
        <w:ind w:left="8092" w:hanging="1014"/>
      </w:pPr>
      <w:rPr>
        <w:rFonts w:hint="default"/>
        <w:lang w:val="es-ES" w:eastAsia="en-US" w:bidi="ar-SA"/>
      </w:rPr>
    </w:lvl>
  </w:abstractNum>
  <w:abstractNum w:abstractNumId="33" w15:restartNumberingAfterBreak="0">
    <w:nsid w:val="7CA17FC3"/>
    <w:multiLevelType w:val="hybridMultilevel"/>
    <w:tmpl w:val="9DC4D438"/>
    <w:lvl w:ilvl="0" w:tplc="6744024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D806763"/>
    <w:multiLevelType w:val="hybridMultilevel"/>
    <w:tmpl w:val="5F80394E"/>
    <w:lvl w:ilvl="0" w:tplc="E118F25E">
      <w:start w:val="1"/>
      <w:numFmt w:val="decimal"/>
      <w:lvlText w:val="%1."/>
      <w:lvlJc w:val="left"/>
      <w:pPr>
        <w:ind w:left="120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1FE8704">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3E7100">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0AA67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BC398C">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4CDCD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78E12E">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DA238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9E3EEE">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7EE319C1"/>
    <w:multiLevelType w:val="hybridMultilevel"/>
    <w:tmpl w:val="8BDE332C"/>
    <w:lvl w:ilvl="0" w:tplc="7BB06F88">
      <w:start w:val="6"/>
      <w:numFmt w:val="decimal"/>
      <w:lvlText w:val="%1."/>
      <w:lvlJc w:val="left"/>
      <w:pPr>
        <w:ind w:left="1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1F2D9C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06410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BE86AF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0ABD0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2EC1E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6AF49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2E41E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665CA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8"/>
  </w:num>
  <w:num w:numId="2">
    <w:abstractNumId w:val="27"/>
  </w:num>
  <w:num w:numId="3">
    <w:abstractNumId w:val="0"/>
  </w:num>
  <w:num w:numId="4">
    <w:abstractNumId w:val="4"/>
  </w:num>
  <w:num w:numId="5">
    <w:abstractNumId w:val="32"/>
  </w:num>
  <w:num w:numId="6">
    <w:abstractNumId w:val="9"/>
  </w:num>
  <w:num w:numId="7">
    <w:abstractNumId w:val="29"/>
  </w:num>
  <w:num w:numId="8">
    <w:abstractNumId w:val="30"/>
  </w:num>
  <w:num w:numId="9">
    <w:abstractNumId w:val="1"/>
  </w:num>
  <w:num w:numId="10">
    <w:abstractNumId w:val="15"/>
  </w:num>
  <w:num w:numId="11">
    <w:abstractNumId w:val="28"/>
  </w:num>
  <w:num w:numId="12">
    <w:abstractNumId w:val="26"/>
  </w:num>
  <w:num w:numId="13">
    <w:abstractNumId w:val="23"/>
  </w:num>
  <w:num w:numId="14">
    <w:abstractNumId w:val="17"/>
  </w:num>
  <w:num w:numId="15">
    <w:abstractNumId w:val="31"/>
  </w:num>
  <w:num w:numId="16">
    <w:abstractNumId w:val="19"/>
  </w:num>
  <w:num w:numId="17">
    <w:abstractNumId w:val="11"/>
  </w:num>
  <w:num w:numId="18">
    <w:abstractNumId w:val="13"/>
  </w:num>
  <w:num w:numId="19">
    <w:abstractNumId w:val="21"/>
  </w:num>
  <w:num w:numId="20">
    <w:abstractNumId w:val="14"/>
  </w:num>
  <w:num w:numId="21">
    <w:abstractNumId w:val="12"/>
  </w:num>
  <w:num w:numId="22">
    <w:abstractNumId w:val="18"/>
  </w:num>
  <w:num w:numId="23">
    <w:abstractNumId w:val="6"/>
  </w:num>
  <w:num w:numId="24">
    <w:abstractNumId w:val="25"/>
  </w:num>
  <w:num w:numId="25">
    <w:abstractNumId w:val="10"/>
  </w:num>
  <w:num w:numId="26">
    <w:abstractNumId w:val="34"/>
  </w:num>
  <w:num w:numId="27">
    <w:abstractNumId w:val="7"/>
  </w:num>
  <w:num w:numId="28">
    <w:abstractNumId w:val="33"/>
  </w:num>
  <w:num w:numId="29">
    <w:abstractNumId w:val="35"/>
  </w:num>
  <w:num w:numId="30">
    <w:abstractNumId w:val="2"/>
  </w:num>
  <w:num w:numId="31">
    <w:abstractNumId w:val="16"/>
  </w:num>
  <w:num w:numId="32">
    <w:abstractNumId w:val="22"/>
  </w:num>
  <w:num w:numId="33">
    <w:abstractNumId w:val="5"/>
  </w:num>
  <w:num w:numId="34">
    <w:abstractNumId w:val="24"/>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C3"/>
    <w:rsid w:val="00001040"/>
    <w:rsid w:val="00003242"/>
    <w:rsid w:val="00003573"/>
    <w:rsid w:val="00004282"/>
    <w:rsid w:val="00004E05"/>
    <w:rsid w:val="00010E48"/>
    <w:rsid w:val="00012033"/>
    <w:rsid w:val="00014194"/>
    <w:rsid w:val="000146C7"/>
    <w:rsid w:val="00014853"/>
    <w:rsid w:val="00015143"/>
    <w:rsid w:val="00015C9C"/>
    <w:rsid w:val="000209A9"/>
    <w:rsid w:val="00022734"/>
    <w:rsid w:val="00022BAC"/>
    <w:rsid w:val="00022E17"/>
    <w:rsid w:val="0002327F"/>
    <w:rsid w:val="0002352D"/>
    <w:rsid w:val="000245F5"/>
    <w:rsid w:val="00025DE0"/>
    <w:rsid w:val="00034015"/>
    <w:rsid w:val="00034166"/>
    <w:rsid w:val="00035DB9"/>
    <w:rsid w:val="00040278"/>
    <w:rsid w:val="0004109A"/>
    <w:rsid w:val="000415AF"/>
    <w:rsid w:val="00041F70"/>
    <w:rsid w:val="0004338A"/>
    <w:rsid w:val="00043670"/>
    <w:rsid w:val="00044554"/>
    <w:rsid w:val="000448D8"/>
    <w:rsid w:val="00045BF7"/>
    <w:rsid w:val="000461BC"/>
    <w:rsid w:val="000466C7"/>
    <w:rsid w:val="00047529"/>
    <w:rsid w:val="000502B9"/>
    <w:rsid w:val="00053C02"/>
    <w:rsid w:val="0005452C"/>
    <w:rsid w:val="00054CC3"/>
    <w:rsid w:val="000627E2"/>
    <w:rsid w:val="000642D1"/>
    <w:rsid w:val="00064856"/>
    <w:rsid w:val="000662DB"/>
    <w:rsid w:val="00066A9A"/>
    <w:rsid w:val="000672D9"/>
    <w:rsid w:val="00067872"/>
    <w:rsid w:val="000731DE"/>
    <w:rsid w:val="000779A4"/>
    <w:rsid w:val="00083E6D"/>
    <w:rsid w:val="00084B04"/>
    <w:rsid w:val="000853BF"/>
    <w:rsid w:val="00087444"/>
    <w:rsid w:val="00093D3C"/>
    <w:rsid w:val="00094BA9"/>
    <w:rsid w:val="00096D7E"/>
    <w:rsid w:val="000A00D2"/>
    <w:rsid w:val="000A1B43"/>
    <w:rsid w:val="000A2CFA"/>
    <w:rsid w:val="000A6FB7"/>
    <w:rsid w:val="000B0963"/>
    <w:rsid w:val="000B0CD7"/>
    <w:rsid w:val="000B3FF6"/>
    <w:rsid w:val="000B760C"/>
    <w:rsid w:val="000C1AC3"/>
    <w:rsid w:val="000C3293"/>
    <w:rsid w:val="000C32AE"/>
    <w:rsid w:val="000C4078"/>
    <w:rsid w:val="000C52B9"/>
    <w:rsid w:val="000C72AD"/>
    <w:rsid w:val="000D076D"/>
    <w:rsid w:val="000D1FB3"/>
    <w:rsid w:val="000D3763"/>
    <w:rsid w:val="000D39E3"/>
    <w:rsid w:val="000D4E92"/>
    <w:rsid w:val="000E2126"/>
    <w:rsid w:val="000E3A27"/>
    <w:rsid w:val="000E444B"/>
    <w:rsid w:val="000E7259"/>
    <w:rsid w:val="000F3DF9"/>
    <w:rsid w:val="000F57DD"/>
    <w:rsid w:val="000F7013"/>
    <w:rsid w:val="00100E82"/>
    <w:rsid w:val="00102B53"/>
    <w:rsid w:val="001030F1"/>
    <w:rsid w:val="001050CF"/>
    <w:rsid w:val="0010608E"/>
    <w:rsid w:val="001063F5"/>
    <w:rsid w:val="001066E0"/>
    <w:rsid w:val="001069B7"/>
    <w:rsid w:val="001078BC"/>
    <w:rsid w:val="00110730"/>
    <w:rsid w:val="00111E23"/>
    <w:rsid w:val="001155D6"/>
    <w:rsid w:val="0012169F"/>
    <w:rsid w:val="001220A5"/>
    <w:rsid w:val="00125345"/>
    <w:rsid w:val="00126080"/>
    <w:rsid w:val="001264A7"/>
    <w:rsid w:val="00126579"/>
    <w:rsid w:val="00126D7A"/>
    <w:rsid w:val="00126DF5"/>
    <w:rsid w:val="00126F40"/>
    <w:rsid w:val="00130175"/>
    <w:rsid w:val="0013141A"/>
    <w:rsid w:val="001317F3"/>
    <w:rsid w:val="00131C10"/>
    <w:rsid w:val="00137A48"/>
    <w:rsid w:val="001401BD"/>
    <w:rsid w:val="0014072F"/>
    <w:rsid w:val="001407AF"/>
    <w:rsid w:val="00144CD8"/>
    <w:rsid w:val="00147B44"/>
    <w:rsid w:val="001520DD"/>
    <w:rsid w:val="00156367"/>
    <w:rsid w:val="001574C5"/>
    <w:rsid w:val="00161588"/>
    <w:rsid w:val="00167079"/>
    <w:rsid w:val="00171F98"/>
    <w:rsid w:val="00172924"/>
    <w:rsid w:val="00175135"/>
    <w:rsid w:val="0017630C"/>
    <w:rsid w:val="001767E9"/>
    <w:rsid w:val="00176ABE"/>
    <w:rsid w:val="00177FB0"/>
    <w:rsid w:val="0018345C"/>
    <w:rsid w:val="00184564"/>
    <w:rsid w:val="00184B7A"/>
    <w:rsid w:val="00185CD2"/>
    <w:rsid w:val="00191A9E"/>
    <w:rsid w:val="001923F3"/>
    <w:rsid w:val="001938EC"/>
    <w:rsid w:val="001939CD"/>
    <w:rsid w:val="00193F2D"/>
    <w:rsid w:val="00193F3D"/>
    <w:rsid w:val="001943E7"/>
    <w:rsid w:val="001947A1"/>
    <w:rsid w:val="00196D7B"/>
    <w:rsid w:val="00196F85"/>
    <w:rsid w:val="00197663"/>
    <w:rsid w:val="001A0258"/>
    <w:rsid w:val="001A0299"/>
    <w:rsid w:val="001A0ACE"/>
    <w:rsid w:val="001A1941"/>
    <w:rsid w:val="001A3AEC"/>
    <w:rsid w:val="001A3BFE"/>
    <w:rsid w:val="001A5696"/>
    <w:rsid w:val="001A57CB"/>
    <w:rsid w:val="001A7DAA"/>
    <w:rsid w:val="001B0B32"/>
    <w:rsid w:val="001B0DE4"/>
    <w:rsid w:val="001B193D"/>
    <w:rsid w:val="001B2564"/>
    <w:rsid w:val="001B4341"/>
    <w:rsid w:val="001B5D92"/>
    <w:rsid w:val="001B6013"/>
    <w:rsid w:val="001B64A2"/>
    <w:rsid w:val="001B6A02"/>
    <w:rsid w:val="001C2348"/>
    <w:rsid w:val="001C2EED"/>
    <w:rsid w:val="001C3CD0"/>
    <w:rsid w:val="001D19EA"/>
    <w:rsid w:val="001D1F8E"/>
    <w:rsid w:val="001D4E6D"/>
    <w:rsid w:val="001D6786"/>
    <w:rsid w:val="001E229D"/>
    <w:rsid w:val="001E236F"/>
    <w:rsid w:val="001E2A1B"/>
    <w:rsid w:val="001E3A00"/>
    <w:rsid w:val="001E4BF7"/>
    <w:rsid w:val="001E506D"/>
    <w:rsid w:val="001E7DB6"/>
    <w:rsid w:val="001F1113"/>
    <w:rsid w:val="001F117F"/>
    <w:rsid w:val="001F20B8"/>
    <w:rsid w:val="001F29D0"/>
    <w:rsid w:val="001F6BA0"/>
    <w:rsid w:val="00201F13"/>
    <w:rsid w:val="002063F8"/>
    <w:rsid w:val="00206466"/>
    <w:rsid w:val="0020780A"/>
    <w:rsid w:val="002104E3"/>
    <w:rsid w:val="0021260C"/>
    <w:rsid w:val="00212D8B"/>
    <w:rsid w:val="00213FD1"/>
    <w:rsid w:val="00215FA3"/>
    <w:rsid w:val="002175C0"/>
    <w:rsid w:val="00223F69"/>
    <w:rsid w:val="002258E0"/>
    <w:rsid w:val="00226158"/>
    <w:rsid w:val="00227666"/>
    <w:rsid w:val="00227AE6"/>
    <w:rsid w:val="002302CA"/>
    <w:rsid w:val="002324E3"/>
    <w:rsid w:val="00232C66"/>
    <w:rsid w:val="00233BEE"/>
    <w:rsid w:val="002348FD"/>
    <w:rsid w:val="00235DA2"/>
    <w:rsid w:val="0023655B"/>
    <w:rsid w:val="002366B2"/>
    <w:rsid w:val="00237144"/>
    <w:rsid w:val="00237C6E"/>
    <w:rsid w:val="00240A4B"/>
    <w:rsid w:val="002419A0"/>
    <w:rsid w:val="00242E63"/>
    <w:rsid w:val="002444B3"/>
    <w:rsid w:val="00247218"/>
    <w:rsid w:val="00247435"/>
    <w:rsid w:val="002525EA"/>
    <w:rsid w:val="002526DD"/>
    <w:rsid w:val="0025459A"/>
    <w:rsid w:val="00254E55"/>
    <w:rsid w:val="00256373"/>
    <w:rsid w:val="00257066"/>
    <w:rsid w:val="00257E3D"/>
    <w:rsid w:val="00261043"/>
    <w:rsid w:val="00261E74"/>
    <w:rsid w:val="00263549"/>
    <w:rsid w:val="00265FE8"/>
    <w:rsid w:val="002675BD"/>
    <w:rsid w:val="0027154D"/>
    <w:rsid w:val="00271FC3"/>
    <w:rsid w:val="0027268B"/>
    <w:rsid w:val="00272B0C"/>
    <w:rsid w:val="00272D2F"/>
    <w:rsid w:val="00272D84"/>
    <w:rsid w:val="00272E2D"/>
    <w:rsid w:val="00273B53"/>
    <w:rsid w:val="002754EC"/>
    <w:rsid w:val="00275C3F"/>
    <w:rsid w:val="00280B59"/>
    <w:rsid w:val="00280D2E"/>
    <w:rsid w:val="002857CC"/>
    <w:rsid w:val="00291B84"/>
    <w:rsid w:val="002924E0"/>
    <w:rsid w:val="00292DD2"/>
    <w:rsid w:val="0029370F"/>
    <w:rsid w:val="0029395B"/>
    <w:rsid w:val="00293985"/>
    <w:rsid w:val="00293AB3"/>
    <w:rsid w:val="00295790"/>
    <w:rsid w:val="002A06B4"/>
    <w:rsid w:val="002A3A5A"/>
    <w:rsid w:val="002A4A73"/>
    <w:rsid w:val="002A4BBC"/>
    <w:rsid w:val="002A5014"/>
    <w:rsid w:val="002A6012"/>
    <w:rsid w:val="002A73E1"/>
    <w:rsid w:val="002A784F"/>
    <w:rsid w:val="002B380A"/>
    <w:rsid w:val="002B5676"/>
    <w:rsid w:val="002B6302"/>
    <w:rsid w:val="002C1C1C"/>
    <w:rsid w:val="002C1E3A"/>
    <w:rsid w:val="002C378A"/>
    <w:rsid w:val="002C38FD"/>
    <w:rsid w:val="002C54CC"/>
    <w:rsid w:val="002C558C"/>
    <w:rsid w:val="002C6425"/>
    <w:rsid w:val="002C6A68"/>
    <w:rsid w:val="002C7541"/>
    <w:rsid w:val="002E1529"/>
    <w:rsid w:val="002E340D"/>
    <w:rsid w:val="002E47AC"/>
    <w:rsid w:val="002F5280"/>
    <w:rsid w:val="002F7387"/>
    <w:rsid w:val="002F7535"/>
    <w:rsid w:val="0030424D"/>
    <w:rsid w:val="003066A0"/>
    <w:rsid w:val="00312202"/>
    <w:rsid w:val="003165BB"/>
    <w:rsid w:val="003201ED"/>
    <w:rsid w:val="0032206F"/>
    <w:rsid w:val="0032543F"/>
    <w:rsid w:val="00325F93"/>
    <w:rsid w:val="00326DB3"/>
    <w:rsid w:val="00330056"/>
    <w:rsid w:val="003310F7"/>
    <w:rsid w:val="00331EAE"/>
    <w:rsid w:val="00332023"/>
    <w:rsid w:val="00332B44"/>
    <w:rsid w:val="003331F1"/>
    <w:rsid w:val="00335518"/>
    <w:rsid w:val="00336BFF"/>
    <w:rsid w:val="00342D13"/>
    <w:rsid w:val="00346228"/>
    <w:rsid w:val="003464FA"/>
    <w:rsid w:val="00346866"/>
    <w:rsid w:val="00351030"/>
    <w:rsid w:val="00351DBD"/>
    <w:rsid w:val="003521AE"/>
    <w:rsid w:val="003528D9"/>
    <w:rsid w:val="00353087"/>
    <w:rsid w:val="00353357"/>
    <w:rsid w:val="003540F7"/>
    <w:rsid w:val="00357446"/>
    <w:rsid w:val="00357707"/>
    <w:rsid w:val="00357B1A"/>
    <w:rsid w:val="00360090"/>
    <w:rsid w:val="0036151F"/>
    <w:rsid w:val="00361B5F"/>
    <w:rsid w:val="00362A99"/>
    <w:rsid w:val="00362E42"/>
    <w:rsid w:val="00365BD7"/>
    <w:rsid w:val="00367EFA"/>
    <w:rsid w:val="00367FE4"/>
    <w:rsid w:val="00371E94"/>
    <w:rsid w:val="00372919"/>
    <w:rsid w:val="0037495D"/>
    <w:rsid w:val="003753F6"/>
    <w:rsid w:val="00375CF1"/>
    <w:rsid w:val="00376248"/>
    <w:rsid w:val="00380DAC"/>
    <w:rsid w:val="00384397"/>
    <w:rsid w:val="0038472D"/>
    <w:rsid w:val="00385ABB"/>
    <w:rsid w:val="00387242"/>
    <w:rsid w:val="00391997"/>
    <w:rsid w:val="00392DEF"/>
    <w:rsid w:val="003A4F47"/>
    <w:rsid w:val="003A57DA"/>
    <w:rsid w:val="003A5B0B"/>
    <w:rsid w:val="003A621E"/>
    <w:rsid w:val="003A7183"/>
    <w:rsid w:val="003A7283"/>
    <w:rsid w:val="003B22B0"/>
    <w:rsid w:val="003B53AC"/>
    <w:rsid w:val="003B5495"/>
    <w:rsid w:val="003B6047"/>
    <w:rsid w:val="003B6099"/>
    <w:rsid w:val="003B60BD"/>
    <w:rsid w:val="003B69C3"/>
    <w:rsid w:val="003C1DA9"/>
    <w:rsid w:val="003C3403"/>
    <w:rsid w:val="003C38DF"/>
    <w:rsid w:val="003C663B"/>
    <w:rsid w:val="003C6C51"/>
    <w:rsid w:val="003C7349"/>
    <w:rsid w:val="003C79CC"/>
    <w:rsid w:val="003C7BA5"/>
    <w:rsid w:val="003D31BF"/>
    <w:rsid w:val="003D5866"/>
    <w:rsid w:val="003D58D3"/>
    <w:rsid w:val="003D58E2"/>
    <w:rsid w:val="003D7409"/>
    <w:rsid w:val="003E03C0"/>
    <w:rsid w:val="003E1BDE"/>
    <w:rsid w:val="003E46FF"/>
    <w:rsid w:val="003E69AD"/>
    <w:rsid w:val="003E78A7"/>
    <w:rsid w:val="003E7F6F"/>
    <w:rsid w:val="003F010E"/>
    <w:rsid w:val="003F1C6A"/>
    <w:rsid w:val="003F25A1"/>
    <w:rsid w:val="003F3AB7"/>
    <w:rsid w:val="003F3D6A"/>
    <w:rsid w:val="003F4723"/>
    <w:rsid w:val="003F5521"/>
    <w:rsid w:val="003F5A0E"/>
    <w:rsid w:val="003F7697"/>
    <w:rsid w:val="00402ABC"/>
    <w:rsid w:val="00403942"/>
    <w:rsid w:val="00405C5B"/>
    <w:rsid w:val="00406283"/>
    <w:rsid w:val="00407129"/>
    <w:rsid w:val="004073B8"/>
    <w:rsid w:val="00407430"/>
    <w:rsid w:val="004103A9"/>
    <w:rsid w:val="004153BD"/>
    <w:rsid w:val="00415E38"/>
    <w:rsid w:val="00417D0B"/>
    <w:rsid w:val="00420A0C"/>
    <w:rsid w:val="004210DC"/>
    <w:rsid w:val="00422716"/>
    <w:rsid w:val="0042326E"/>
    <w:rsid w:val="00423711"/>
    <w:rsid w:val="00423C07"/>
    <w:rsid w:val="00426AF2"/>
    <w:rsid w:val="00430537"/>
    <w:rsid w:val="004312FF"/>
    <w:rsid w:val="00431C09"/>
    <w:rsid w:val="00432FCF"/>
    <w:rsid w:val="004339F6"/>
    <w:rsid w:val="00434503"/>
    <w:rsid w:val="00442C98"/>
    <w:rsid w:val="00443382"/>
    <w:rsid w:val="00445CF8"/>
    <w:rsid w:val="00446E3D"/>
    <w:rsid w:val="00446E4D"/>
    <w:rsid w:val="004501FF"/>
    <w:rsid w:val="0045156D"/>
    <w:rsid w:val="0045192D"/>
    <w:rsid w:val="00453039"/>
    <w:rsid w:val="00456C79"/>
    <w:rsid w:val="00460480"/>
    <w:rsid w:val="004617D5"/>
    <w:rsid w:val="0046543F"/>
    <w:rsid w:val="00470413"/>
    <w:rsid w:val="0047070C"/>
    <w:rsid w:val="00470793"/>
    <w:rsid w:val="00470F63"/>
    <w:rsid w:val="00473068"/>
    <w:rsid w:val="004767BF"/>
    <w:rsid w:val="00482F02"/>
    <w:rsid w:val="0048340D"/>
    <w:rsid w:val="0048579D"/>
    <w:rsid w:val="00486227"/>
    <w:rsid w:val="0049057F"/>
    <w:rsid w:val="00491F98"/>
    <w:rsid w:val="00493A91"/>
    <w:rsid w:val="0049428F"/>
    <w:rsid w:val="00497212"/>
    <w:rsid w:val="004A2DF7"/>
    <w:rsid w:val="004A7AB9"/>
    <w:rsid w:val="004B031D"/>
    <w:rsid w:val="004B1024"/>
    <w:rsid w:val="004B665D"/>
    <w:rsid w:val="004B7720"/>
    <w:rsid w:val="004C06D7"/>
    <w:rsid w:val="004C075A"/>
    <w:rsid w:val="004C140A"/>
    <w:rsid w:val="004C2AD6"/>
    <w:rsid w:val="004C3CE0"/>
    <w:rsid w:val="004C5104"/>
    <w:rsid w:val="004C51D5"/>
    <w:rsid w:val="004C7A2A"/>
    <w:rsid w:val="004D0112"/>
    <w:rsid w:val="004D01E6"/>
    <w:rsid w:val="004D18EF"/>
    <w:rsid w:val="004D1AE6"/>
    <w:rsid w:val="004D33EF"/>
    <w:rsid w:val="004D777E"/>
    <w:rsid w:val="004E18CA"/>
    <w:rsid w:val="004E2E0D"/>
    <w:rsid w:val="004E4675"/>
    <w:rsid w:val="004E5625"/>
    <w:rsid w:val="004E59AE"/>
    <w:rsid w:val="004E6D22"/>
    <w:rsid w:val="004F01D1"/>
    <w:rsid w:val="004F3D9F"/>
    <w:rsid w:val="004F6B34"/>
    <w:rsid w:val="004F6B6A"/>
    <w:rsid w:val="00500780"/>
    <w:rsid w:val="00502C86"/>
    <w:rsid w:val="00503A10"/>
    <w:rsid w:val="005065C1"/>
    <w:rsid w:val="00506ADD"/>
    <w:rsid w:val="00511C8F"/>
    <w:rsid w:val="005154E6"/>
    <w:rsid w:val="00525DD2"/>
    <w:rsid w:val="005300A8"/>
    <w:rsid w:val="005300C3"/>
    <w:rsid w:val="00533258"/>
    <w:rsid w:val="005364B7"/>
    <w:rsid w:val="00536E13"/>
    <w:rsid w:val="0053708D"/>
    <w:rsid w:val="00540376"/>
    <w:rsid w:val="00540F83"/>
    <w:rsid w:val="00543494"/>
    <w:rsid w:val="00543A4E"/>
    <w:rsid w:val="005442A4"/>
    <w:rsid w:val="00546ADD"/>
    <w:rsid w:val="0055415B"/>
    <w:rsid w:val="005555D2"/>
    <w:rsid w:val="005636B9"/>
    <w:rsid w:val="00563F6F"/>
    <w:rsid w:val="0056447F"/>
    <w:rsid w:val="00564685"/>
    <w:rsid w:val="00564E79"/>
    <w:rsid w:val="00565512"/>
    <w:rsid w:val="00567BA4"/>
    <w:rsid w:val="00567D84"/>
    <w:rsid w:val="00570BD8"/>
    <w:rsid w:val="005725F2"/>
    <w:rsid w:val="0057461F"/>
    <w:rsid w:val="00576679"/>
    <w:rsid w:val="00577147"/>
    <w:rsid w:val="00587443"/>
    <w:rsid w:val="005874E1"/>
    <w:rsid w:val="00590BEE"/>
    <w:rsid w:val="005916C3"/>
    <w:rsid w:val="00592F67"/>
    <w:rsid w:val="005932FB"/>
    <w:rsid w:val="00593573"/>
    <w:rsid w:val="005953E0"/>
    <w:rsid w:val="00595417"/>
    <w:rsid w:val="0059581D"/>
    <w:rsid w:val="0059624A"/>
    <w:rsid w:val="00596269"/>
    <w:rsid w:val="005962AB"/>
    <w:rsid w:val="005969B2"/>
    <w:rsid w:val="005A0768"/>
    <w:rsid w:val="005A32C2"/>
    <w:rsid w:val="005A6C74"/>
    <w:rsid w:val="005B15BE"/>
    <w:rsid w:val="005B18CC"/>
    <w:rsid w:val="005B508B"/>
    <w:rsid w:val="005B7A3A"/>
    <w:rsid w:val="005C1175"/>
    <w:rsid w:val="005C32B3"/>
    <w:rsid w:val="005C4955"/>
    <w:rsid w:val="005C6C75"/>
    <w:rsid w:val="005D1D09"/>
    <w:rsid w:val="005D2A95"/>
    <w:rsid w:val="005D6DB8"/>
    <w:rsid w:val="005D74E9"/>
    <w:rsid w:val="005D7B0B"/>
    <w:rsid w:val="005E0901"/>
    <w:rsid w:val="005E4B73"/>
    <w:rsid w:val="005E58D4"/>
    <w:rsid w:val="005E606D"/>
    <w:rsid w:val="005F0B3D"/>
    <w:rsid w:val="005F11AA"/>
    <w:rsid w:val="005F3421"/>
    <w:rsid w:val="005F4563"/>
    <w:rsid w:val="005F5007"/>
    <w:rsid w:val="005F7456"/>
    <w:rsid w:val="005F74B1"/>
    <w:rsid w:val="005F7B47"/>
    <w:rsid w:val="0060486F"/>
    <w:rsid w:val="00606545"/>
    <w:rsid w:val="006065CA"/>
    <w:rsid w:val="00610589"/>
    <w:rsid w:val="00613EDE"/>
    <w:rsid w:val="0061784F"/>
    <w:rsid w:val="00617FC5"/>
    <w:rsid w:val="006225B6"/>
    <w:rsid w:val="0062319C"/>
    <w:rsid w:val="0062373E"/>
    <w:rsid w:val="00625025"/>
    <w:rsid w:val="00626231"/>
    <w:rsid w:val="00626572"/>
    <w:rsid w:val="00626A1E"/>
    <w:rsid w:val="00626D26"/>
    <w:rsid w:val="00631BC3"/>
    <w:rsid w:val="0063274C"/>
    <w:rsid w:val="00633898"/>
    <w:rsid w:val="00633BD3"/>
    <w:rsid w:val="006349E3"/>
    <w:rsid w:val="0063566B"/>
    <w:rsid w:val="00640731"/>
    <w:rsid w:val="00641544"/>
    <w:rsid w:val="006419A6"/>
    <w:rsid w:val="00641DB4"/>
    <w:rsid w:val="00645A66"/>
    <w:rsid w:val="00646645"/>
    <w:rsid w:val="00653AF0"/>
    <w:rsid w:val="0065531E"/>
    <w:rsid w:val="00655CC9"/>
    <w:rsid w:val="00663B26"/>
    <w:rsid w:val="00665C84"/>
    <w:rsid w:val="0067260E"/>
    <w:rsid w:val="00680A6A"/>
    <w:rsid w:val="00683AFF"/>
    <w:rsid w:val="00684936"/>
    <w:rsid w:val="0068557A"/>
    <w:rsid w:val="00686363"/>
    <w:rsid w:val="00686C16"/>
    <w:rsid w:val="00686CA3"/>
    <w:rsid w:val="006872AD"/>
    <w:rsid w:val="006872B0"/>
    <w:rsid w:val="00687B74"/>
    <w:rsid w:val="006904BD"/>
    <w:rsid w:val="00693609"/>
    <w:rsid w:val="006939E5"/>
    <w:rsid w:val="00696C03"/>
    <w:rsid w:val="006971AF"/>
    <w:rsid w:val="006A10B2"/>
    <w:rsid w:val="006A1144"/>
    <w:rsid w:val="006A2F21"/>
    <w:rsid w:val="006A2F42"/>
    <w:rsid w:val="006A3F97"/>
    <w:rsid w:val="006A401E"/>
    <w:rsid w:val="006A464A"/>
    <w:rsid w:val="006A4F33"/>
    <w:rsid w:val="006A5B0C"/>
    <w:rsid w:val="006A5D97"/>
    <w:rsid w:val="006B0E06"/>
    <w:rsid w:val="006B1DE8"/>
    <w:rsid w:val="006B254D"/>
    <w:rsid w:val="006B343B"/>
    <w:rsid w:val="006B5587"/>
    <w:rsid w:val="006B58F3"/>
    <w:rsid w:val="006C2B87"/>
    <w:rsid w:val="006C3160"/>
    <w:rsid w:val="006C4A87"/>
    <w:rsid w:val="006D02DA"/>
    <w:rsid w:val="006D0B01"/>
    <w:rsid w:val="006D0C79"/>
    <w:rsid w:val="006D3D5F"/>
    <w:rsid w:val="006D5A4F"/>
    <w:rsid w:val="006D7285"/>
    <w:rsid w:val="006D73E2"/>
    <w:rsid w:val="006E0298"/>
    <w:rsid w:val="006E4DAB"/>
    <w:rsid w:val="006E5546"/>
    <w:rsid w:val="006E5BD9"/>
    <w:rsid w:val="006E7F5D"/>
    <w:rsid w:val="006F0443"/>
    <w:rsid w:val="006F0E01"/>
    <w:rsid w:val="006F11B1"/>
    <w:rsid w:val="006F4778"/>
    <w:rsid w:val="006F6294"/>
    <w:rsid w:val="006F7BD0"/>
    <w:rsid w:val="00703991"/>
    <w:rsid w:val="00703A0A"/>
    <w:rsid w:val="0070463C"/>
    <w:rsid w:val="007047BA"/>
    <w:rsid w:val="00705641"/>
    <w:rsid w:val="007103EF"/>
    <w:rsid w:val="00712ACC"/>
    <w:rsid w:val="00713B3F"/>
    <w:rsid w:val="00713FFA"/>
    <w:rsid w:val="00716A41"/>
    <w:rsid w:val="00721711"/>
    <w:rsid w:val="007228AC"/>
    <w:rsid w:val="00722FFB"/>
    <w:rsid w:val="00725106"/>
    <w:rsid w:val="007258BC"/>
    <w:rsid w:val="007261A9"/>
    <w:rsid w:val="00732F54"/>
    <w:rsid w:val="00734973"/>
    <w:rsid w:val="00734BFA"/>
    <w:rsid w:val="00737FFB"/>
    <w:rsid w:val="00740B3C"/>
    <w:rsid w:val="00742741"/>
    <w:rsid w:val="007436D6"/>
    <w:rsid w:val="00744174"/>
    <w:rsid w:val="00744F6A"/>
    <w:rsid w:val="007450B6"/>
    <w:rsid w:val="007461BA"/>
    <w:rsid w:val="00747FD8"/>
    <w:rsid w:val="00751984"/>
    <w:rsid w:val="007539BE"/>
    <w:rsid w:val="00754597"/>
    <w:rsid w:val="00756936"/>
    <w:rsid w:val="00763923"/>
    <w:rsid w:val="007657CB"/>
    <w:rsid w:val="007663DD"/>
    <w:rsid w:val="007668A5"/>
    <w:rsid w:val="00766FFB"/>
    <w:rsid w:val="007705EC"/>
    <w:rsid w:val="00770B6D"/>
    <w:rsid w:val="00774878"/>
    <w:rsid w:val="00775DE7"/>
    <w:rsid w:val="007760EF"/>
    <w:rsid w:val="00780604"/>
    <w:rsid w:val="007827FC"/>
    <w:rsid w:val="0078454A"/>
    <w:rsid w:val="007874AD"/>
    <w:rsid w:val="00791DF7"/>
    <w:rsid w:val="007943DC"/>
    <w:rsid w:val="007944EB"/>
    <w:rsid w:val="00795B43"/>
    <w:rsid w:val="00796CB9"/>
    <w:rsid w:val="007A4247"/>
    <w:rsid w:val="007B0393"/>
    <w:rsid w:val="007B0A8E"/>
    <w:rsid w:val="007B3630"/>
    <w:rsid w:val="007B53CC"/>
    <w:rsid w:val="007B56DF"/>
    <w:rsid w:val="007B5B0C"/>
    <w:rsid w:val="007B750D"/>
    <w:rsid w:val="007B7E50"/>
    <w:rsid w:val="007C05F8"/>
    <w:rsid w:val="007C2097"/>
    <w:rsid w:val="007C2A75"/>
    <w:rsid w:val="007C2FDD"/>
    <w:rsid w:val="007C33ED"/>
    <w:rsid w:val="007C3C6D"/>
    <w:rsid w:val="007D7018"/>
    <w:rsid w:val="007D779D"/>
    <w:rsid w:val="007E06AF"/>
    <w:rsid w:val="007E473A"/>
    <w:rsid w:val="007E546A"/>
    <w:rsid w:val="007E7490"/>
    <w:rsid w:val="007F06CA"/>
    <w:rsid w:val="007F070F"/>
    <w:rsid w:val="007F2556"/>
    <w:rsid w:val="007F32D6"/>
    <w:rsid w:val="007F3FBD"/>
    <w:rsid w:val="00800404"/>
    <w:rsid w:val="00801170"/>
    <w:rsid w:val="00802A8B"/>
    <w:rsid w:val="008032A2"/>
    <w:rsid w:val="008039B4"/>
    <w:rsid w:val="00803DAE"/>
    <w:rsid w:val="00804A7D"/>
    <w:rsid w:val="00804C95"/>
    <w:rsid w:val="00806626"/>
    <w:rsid w:val="008072EF"/>
    <w:rsid w:val="00807F12"/>
    <w:rsid w:val="0081134F"/>
    <w:rsid w:val="0081142E"/>
    <w:rsid w:val="00811EF4"/>
    <w:rsid w:val="0081313A"/>
    <w:rsid w:val="00814442"/>
    <w:rsid w:val="00814BC3"/>
    <w:rsid w:val="00814CF2"/>
    <w:rsid w:val="008205C9"/>
    <w:rsid w:val="0082088A"/>
    <w:rsid w:val="00820DEF"/>
    <w:rsid w:val="00821ACE"/>
    <w:rsid w:val="00823833"/>
    <w:rsid w:val="008238DE"/>
    <w:rsid w:val="008261C8"/>
    <w:rsid w:val="0082761A"/>
    <w:rsid w:val="00830FBB"/>
    <w:rsid w:val="008328E8"/>
    <w:rsid w:val="00833A21"/>
    <w:rsid w:val="0083468A"/>
    <w:rsid w:val="0083471E"/>
    <w:rsid w:val="00834C48"/>
    <w:rsid w:val="008408D7"/>
    <w:rsid w:val="00843EDD"/>
    <w:rsid w:val="008458A9"/>
    <w:rsid w:val="00845CA7"/>
    <w:rsid w:val="00852BFF"/>
    <w:rsid w:val="008534F1"/>
    <w:rsid w:val="00854A96"/>
    <w:rsid w:val="00856EB7"/>
    <w:rsid w:val="00856ECA"/>
    <w:rsid w:val="008570B3"/>
    <w:rsid w:val="008633E9"/>
    <w:rsid w:val="00863567"/>
    <w:rsid w:val="00864727"/>
    <w:rsid w:val="00864D41"/>
    <w:rsid w:val="0087001A"/>
    <w:rsid w:val="00870216"/>
    <w:rsid w:val="0087237E"/>
    <w:rsid w:val="008727D1"/>
    <w:rsid w:val="00872F2B"/>
    <w:rsid w:val="008748C1"/>
    <w:rsid w:val="008758B6"/>
    <w:rsid w:val="00883820"/>
    <w:rsid w:val="0088691C"/>
    <w:rsid w:val="00891CD1"/>
    <w:rsid w:val="0089471A"/>
    <w:rsid w:val="0089553B"/>
    <w:rsid w:val="00896134"/>
    <w:rsid w:val="00896C88"/>
    <w:rsid w:val="008A08C5"/>
    <w:rsid w:val="008A1622"/>
    <w:rsid w:val="008A325F"/>
    <w:rsid w:val="008A3413"/>
    <w:rsid w:val="008A40A7"/>
    <w:rsid w:val="008A5AAC"/>
    <w:rsid w:val="008A6293"/>
    <w:rsid w:val="008A764D"/>
    <w:rsid w:val="008B08BC"/>
    <w:rsid w:val="008B2C08"/>
    <w:rsid w:val="008B3D30"/>
    <w:rsid w:val="008B4ADA"/>
    <w:rsid w:val="008B58B2"/>
    <w:rsid w:val="008B5957"/>
    <w:rsid w:val="008B62B5"/>
    <w:rsid w:val="008B76E2"/>
    <w:rsid w:val="008C085F"/>
    <w:rsid w:val="008C185B"/>
    <w:rsid w:val="008C44AF"/>
    <w:rsid w:val="008C49A8"/>
    <w:rsid w:val="008C4CCB"/>
    <w:rsid w:val="008C7588"/>
    <w:rsid w:val="008D1FF1"/>
    <w:rsid w:val="008D42A6"/>
    <w:rsid w:val="008D74B5"/>
    <w:rsid w:val="008E0F40"/>
    <w:rsid w:val="008E13D6"/>
    <w:rsid w:val="008E3B34"/>
    <w:rsid w:val="008E4EE0"/>
    <w:rsid w:val="008F0EB1"/>
    <w:rsid w:val="008F1621"/>
    <w:rsid w:val="008F1FFE"/>
    <w:rsid w:val="008F335C"/>
    <w:rsid w:val="008F4281"/>
    <w:rsid w:val="008F6100"/>
    <w:rsid w:val="0090089A"/>
    <w:rsid w:val="0090173A"/>
    <w:rsid w:val="00903FFA"/>
    <w:rsid w:val="00911E31"/>
    <w:rsid w:val="00912B88"/>
    <w:rsid w:val="0092387E"/>
    <w:rsid w:val="00923957"/>
    <w:rsid w:val="00924254"/>
    <w:rsid w:val="009260BA"/>
    <w:rsid w:val="009305BC"/>
    <w:rsid w:val="00931F8E"/>
    <w:rsid w:val="0093316E"/>
    <w:rsid w:val="009332C5"/>
    <w:rsid w:val="00935881"/>
    <w:rsid w:val="00941D8D"/>
    <w:rsid w:val="00942516"/>
    <w:rsid w:val="00944B3B"/>
    <w:rsid w:val="0094697D"/>
    <w:rsid w:val="00946A49"/>
    <w:rsid w:val="00947C88"/>
    <w:rsid w:val="00950214"/>
    <w:rsid w:val="00951645"/>
    <w:rsid w:val="0095339F"/>
    <w:rsid w:val="0095377C"/>
    <w:rsid w:val="00954966"/>
    <w:rsid w:val="00961BB4"/>
    <w:rsid w:val="00964CFF"/>
    <w:rsid w:val="00966422"/>
    <w:rsid w:val="009667AE"/>
    <w:rsid w:val="00971E53"/>
    <w:rsid w:val="00973002"/>
    <w:rsid w:val="00975CDA"/>
    <w:rsid w:val="009773EE"/>
    <w:rsid w:val="00981B59"/>
    <w:rsid w:val="00984C77"/>
    <w:rsid w:val="0098530E"/>
    <w:rsid w:val="00986ECE"/>
    <w:rsid w:val="00986EFC"/>
    <w:rsid w:val="00990898"/>
    <w:rsid w:val="0099206D"/>
    <w:rsid w:val="009A0027"/>
    <w:rsid w:val="009A0CC6"/>
    <w:rsid w:val="009A0F25"/>
    <w:rsid w:val="009A1276"/>
    <w:rsid w:val="009A28D9"/>
    <w:rsid w:val="009A30D4"/>
    <w:rsid w:val="009A39C1"/>
    <w:rsid w:val="009A5E44"/>
    <w:rsid w:val="009B262A"/>
    <w:rsid w:val="009B3C60"/>
    <w:rsid w:val="009B6949"/>
    <w:rsid w:val="009B7AC7"/>
    <w:rsid w:val="009C0570"/>
    <w:rsid w:val="009C0D24"/>
    <w:rsid w:val="009C14FE"/>
    <w:rsid w:val="009C2037"/>
    <w:rsid w:val="009C2515"/>
    <w:rsid w:val="009C386A"/>
    <w:rsid w:val="009C4229"/>
    <w:rsid w:val="009C4C27"/>
    <w:rsid w:val="009C52BC"/>
    <w:rsid w:val="009C54CE"/>
    <w:rsid w:val="009C7FEF"/>
    <w:rsid w:val="009D0568"/>
    <w:rsid w:val="009D08D5"/>
    <w:rsid w:val="009D322D"/>
    <w:rsid w:val="009D38B5"/>
    <w:rsid w:val="009D5B80"/>
    <w:rsid w:val="009D6D9C"/>
    <w:rsid w:val="009E0873"/>
    <w:rsid w:val="009E107C"/>
    <w:rsid w:val="009E1F22"/>
    <w:rsid w:val="009E46FB"/>
    <w:rsid w:val="009E622F"/>
    <w:rsid w:val="009E6A7C"/>
    <w:rsid w:val="009E6DED"/>
    <w:rsid w:val="009E7855"/>
    <w:rsid w:val="009F261F"/>
    <w:rsid w:val="009F3B37"/>
    <w:rsid w:val="009F4C27"/>
    <w:rsid w:val="009F5C7E"/>
    <w:rsid w:val="009F5E46"/>
    <w:rsid w:val="009F78E7"/>
    <w:rsid w:val="00A01029"/>
    <w:rsid w:val="00A04450"/>
    <w:rsid w:val="00A06D60"/>
    <w:rsid w:val="00A10A4D"/>
    <w:rsid w:val="00A12D2F"/>
    <w:rsid w:val="00A16D4D"/>
    <w:rsid w:val="00A17A12"/>
    <w:rsid w:val="00A273C8"/>
    <w:rsid w:val="00A27794"/>
    <w:rsid w:val="00A314DA"/>
    <w:rsid w:val="00A32510"/>
    <w:rsid w:val="00A37124"/>
    <w:rsid w:val="00A40994"/>
    <w:rsid w:val="00A438E7"/>
    <w:rsid w:val="00A4480B"/>
    <w:rsid w:val="00A44D99"/>
    <w:rsid w:val="00A512CF"/>
    <w:rsid w:val="00A52450"/>
    <w:rsid w:val="00A52F3B"/>
    <w:rsid w:val="00A56AEB"/>
    <w:rsid w:val="00A570AB"/>
    <w:rsid w:val="00A57BB4"/>
    <w:rsid w:val="00A631E3"/>
    <w:rsid w:val="00A65BA2"/>
    <w:rsid w:val="00A66243"/>
    <w:rsid w:val="00A669BB"/>
    <w:rsid w:val="00A66F07"/>
    <w:rsid w:val="00A73723"/>
    <w:rsid w:val="00A74F2B"/>
    <w:rsid w:val="00A761CE"/>
    <w:rsid w:val="00A80E1B"/>
    <w:rsid w:val="00A8115F"/>
    <w:rsid w:val="00A8183C"/>
    <w:rsid w:val="00A82627"/>
    <w:rsid w:val="00A83103"/>
    <w:rsid w:val="00A83197"/>
    <w:rsid w:val="00A83BB7"/>
    <w:rsid w:val="00A84E9D"/>
    <w:rsid w:val="00A879AF"/>
    <w:rsid w:val="00A90C89"/>
    <w:rsid w:val="00A91FFF"/>
    <w:rsid w:val="00A931A7"/>
    <w:rsid w:val="00A93C0B"/>
    <w:rsid w:val="00A93EC7"/>
    <w:rsid w:val="00A94386"/>
    <w:rsid w:val="00A9500E"/>
    <w:rsid w:val="00A95663"/>
    <w:rsid w:val="00A95DCA"/>
    <w:rsid w:val="00A96064"/>
    <w:rsid w:val="00A97140"/>
    <w:rsid w:val="00AA0ECC"/>
    <w:rsid w:val="00AA1F5F"/>
    <w:rsid w:val="00AA1F88"/>
    <w:rsid w:val="00AA5A71"/>
    <w:rsid w:val="00AA5FBC"/>
    <w:rsid w:val="00AA617A"/>
    <w:rsid w:val="00AA675E"/>
    <w:rsid w:val="00AB12F9"/>
    <w:rsid w:val="00AB1CB1"/>
    <w:rsid w:val="00AB21F4"/>
    <w:rsid w:val="00AB297E"/>
    <w:rsid w:val="00AB305A"/>
    <w:rsid w:val="00AB3AE0"/>
    <w:rsid w:val="00AB55B0"/>
    <w:rsid w:val="00AC0F57"/>
    <w:rsid w:val="00AC1DE6"/>
    <w:rsid w:val="00AC22C9"/>
    <w:rsid w:val="00AC2C7F"/>
    <w:rsid w:val="00AC4E09"/>
    <w:rsid w:val="00AC5480"/>
    <w:rsid w:val="00AD38BB"/>
    <w:rsid w:val="00AD4CBA"/>
    <w:rsid w:val="00AD5C53"/>
    <w:rsid w:val="00AE1A9C"/>
    <w:rsid w:val="00AE2D2B"/>
    <w:rsid w:val="00AE4CB0"/>
    <w:rsid w:val="00AF3A3B"/>
    <w:rsid w:val="00AF437E"/>
    <w:rsid w:val="00AF510F"/>
    <w:rsid w:val="00AF5351"/>
    <w:rsid w:val="00AF6C4C"/>
    <w:rsid w:val="00AF717C"/>
    <w:rsid w:val="00AF72A5"/>
    <w:rsid w:val="00B019D6"/>
    <w:rsid w:val="00B041A3"/>
    <w:rsid w:val="00B052BE"/>
    <w:rsid w:val="00B05896"/>
    <w:rsid w:val="00B06525"/>
    <w:rsid w:val="00B066A6"/>
    <w:rsid w:val="00B0683F"/>
    <w:rsid w:val="00B06F4F"/>
    <w:rsid w:val="00B07400"/>
    <w:rsid w:val="00B12600"/>
    <w:rsid w:val="00B2110E"/>
    <w:rsid w:val="00B21661"/>
    <w:rsid w:val="00B22EF3"/>
    <w:rsid w:val="00B23FEE"/>
    <w:rsid w:val="00B24A90"/>
    <w:rsid w:val="00B251E1"/>
    <w:rsid w:val="00B26936"/>
    <w:rsid w:val="00B30C56"/>
    <w:rsid w:val="00B333A4"/>
    <w:rsid w:val="00B36696"/>
    <w:rsid w:val="00B36994"/>
    <w:rsid w:val="00B419B7"/>
    <w:rsid w:val="00B4256A"/>
    <w:rsid w:val="00B466C7"/>
    <w:rsid w:val="00B46D2A"/>
    <w:rsid w:val="00B51C2B"/>
    <w:rsid w:val="00B51E48"/>
    <w:rsid w:val="00B5471D"/>
    <w:rsid w:val="00B54F62"/>
    <w:rsid w:val="00B6337D"/>
    <w:rsid w:val="00B65708"/>
    <w:rsid w:val="00B66376"/>
    <w:rsid w:val="00B66F2C"/>
    <w:rsid w:val="00B67E8A"/>
    <w:rsid w:val="00B7030C"/>
    <w:rsid w:val="00B70FC4"/>
    <w:rsid w:val="00B73800"/>
    <w:rsid w:val="00B73856"/>
    <w:rsid w:val="00B74035"/>
    <w:rsid w:val="00B76FA4"/>
    <w:rsid w:val="00B77024"/>
    <w:rsid w:val="00B800BA"/>
    <w:rsid w:val="00B80D3E"/>
    <w:rsid w:val="00B811D6"/>
    <w:rsid w:val="00B812DC"/>
    <w:rsid w:val="00B8141E"/>
    <w:rsid w:val="00B81609"/>
    <w:rsid w:val="00B85095"/>
    <w:rsid w:val="00B85708"/>
    <w:rsid w:val="00B8757C"/>
    <w:rsid w:val="00B879F4"/>
    <w:rsid w:val="00B917C9"/>
    <w:rsid w:val="00B933F0"/>
    <w:rsid w:val="00B967A7"/>
    <w:rsid w:val="00B9780C"/>
    <w:rsid w:val="00B97B50"/>
    <w:rsid w:val="00BA0654"/>
    <w:rsid w:val="00BA075B"/>
    <w:rsid w:val="00BA2739"/>
    <w:rsid w:val="00BA3D1B"/>
    <w:rsid w:val="00BA4830"/>
    <w:rsid w:val="00BA4D1D"/>
    <w:rsid w:val="00BB0812"/>
    <w:rsid w:val="00BB4BCC"/>
    <w:rsid w:val="00BB4E3C"/>
    <w:rsid w:val="00BB5C48"/>
    <w:rsid w:val="00BB5F1E"/>
    <w:rsid w:val="00BB707D"/>
    <w:rsid w:val="00BC04F0"/>
    <w:rsid w:val="00BC2498"/>
    <w:rsid w:val="00BC3358"/>
    <w:rsid w:val="00BC4513"/>
    <w:rsid w:val="00BC4750"/>
    <w:rsid w:val="00BC4BF8"/>
    <w:rsid w:val="00BD0B9A"/>
    <w:rsid w:val="00BD2DD0"/>
    <w:rsid w:val="00BE05BB"/>
    <w:rsid w:val="00BE1DF6"/>
    <w:rsid w:val="00BE541A"/>
    <w:rsid w:val="00BE5980"/>
    <w:rsid w:val="00BE6FFC"/>
    <w:rsid w:val="00BE7953"/>
    <w:rsid w:val="00BF01C4"/>
    <w:rsid w:val="00BF1A41"/>
    <w:rsid w:val="00BF3551"/>
    <w:rsid w:val="00C024D0"/>
    <w:rsid w:val="00C03CCF"/>
    <w:rsid w:val="00C04446"/>
    <w:rsid w:val="00C06F59"/>
    <w:rsid w:val="00C07C1C"/>
    <w:rsid w:val="00C07F88"/>
    <w:rsid w:val="00C12114"/>
    <w:rsid w:val="00C134CB"/>
    <w:rsid w:val="00C13FE6"/>
    <w:rsid w:val="00C15CF4"/>
    <w:rsid w:val="00C17652"/>
    <w:rsid w:val="00C2265B"/>
    <w:rsid w:val="00C25612"/>
    <w:rsid w:val="00C26F4A"/>
    <w:rsid w:val="00C30C7E"/>
    <w:rsid w:val="00C35673"/>
    <w:rsid w:val="00C35AFD"/>
    <w:rsid w:val="00C3701C"/>
    <w:rsid w:val="00C406D2"/>
    <w:rsid w:val="00C4272A"/>
    <w:rsid w:val="00C4352C"/>
    <w:rsid w:val="00C4367E"/>
    <w:rsid w:val="00C454D0"/>
    <w:rsid w:val="00C45840"/>
    <w:rsid w:val="00C47C86"/>
    <w:rsid w:val="00C50AD6"/>
    <w:rsid w:val="00C50DE5"/>
    <w:rsid w:val="00C529F7"/>
    <w:rsid w:val="00C533D2"/>
    <w:rsid w:val="00C55D28"/>
    <w:rsid w:val="00C56947"/>
    <w:rsid w:val="00C57F2D"/>
    <w:rsid w:val="00C60A75"/>
    <w:rsid w:val="00C611ED"/>
    <w:rsid w:val="00C636D3"/>
    <w:rsid w:val="00C67F16"/>
    <w:rsid w:val="00C725AF"/>
    <w:rsid w:val="00C7307D"/>
    <w:rsid w:val="00C774A7"/>
    <w:rsid w:val="00C80D78"/>
    <w:rsid w:val="00C82063"/>
    <w:rsid w:val="00C92E64"/>
    <w:rsid w:val="00C931CE"/>
    <w:rsid w:val="00C93360"/>
    <w:rsid w:val="00C93EE3"/>
    <w:rsid w:val="00C95415"/>
    <w:rsid w:val="00CA38D0"/>
    <w:rsid w:val="00CA6032"/>
    <w:rsid w:val="00CA6043"/>
    <w:rsid w:val="00CA7A8E"/>
    <w:rsid w:val="00CB05F5"/>
    <w:rsid w:val="00CB1722"/>
    <w:rsid w:val="00CB1762"/>
    <w:rsid w:val="00CB2DAC"/>
    <w:rsid w:val="00CB342A"/>
    <w:rsid w:val="00CB34FC"/>
    <w:rsid w:val="00CB3613"/>
    <w:rsid w:val="00CB6498"/>
    <w:rsid w:val="00CB7DC3"/>
    <w:rsid w:val="00CC1DE1"/>
    <w:rsid w:val="00CC24DC"/>
    <w:rsid w:val="00CC2E89"/>
    <w:rsid w:val="00CC324A"/>
    <w:rsid w:val="00CC3CA9"/>
    <w:rsid w:val="00CC6A5F"/>
    <w:rsid w:val="00CC794F"/>
    <w:rsid w:val="00CD0B38"/>
    <w:rsid w:val="00CD163C"/>
    <w:rsid w:val="00CD2341"/>
    <w:rsid w:val="00CE081C"/>
    <w:rsid w:val="00CE0AD1"/>
    <w:rsid w:val="00CE15DC"/>
    <w:rsid w:val="00CE1A5D"/>
    <w:rsid w:val="00CE60AA"/>
    <w:rsid w:val="00CF0688"/>
    <w:rsid w:val="00CF1051"/>
    <w:rsid w:val="00CF1FB1"/>
    <w:rsid w:val="00CF4D46"/>
    <w:rsid w:val="00CF4FBA"/>
    <w:rsid w:val="00CF6308"/>
    <w:rsid w:val="00D02DE8"/>
    <w:rsid w:val="00D06016"/>
    <w:rsid w:val="00D06E0D"/>
    <w:rsid w:val="00D070C6"/>
    <w:rsid w:val="00D1102E"/>
    <w:rsid w:val="00D126D4"/>
    <w:rsid w:val="00D132F3"/>
    <w:rsid w:val="00D144E8"/>
    <w:rsid w:val="00D14CFE"/>
    <w:rsid w:val="00D17A07"/>
    <w:rsid w:val="00D20FFC"/>
    <w:rsid w:val="00D213DC"/>
    <w:rsid w:val="00D23279"/>
    <w:rsid w:val="00D30858"/>
    <w:rsid w:val="00D32ED4"/>
    <w:rsid w:val="00D335D7"/>
    <w:rsid w:val="00D36CA9"/>
    <w:rsid w:val="00D37193"/>
    <w:rsid w:val="00D37EA0"/>
    <w:rsid w:val="00D4306A"/>
    <w:rsid w:val="00D4661E"/>
    <w:rsid w:val="00D52EB9"/>
    <w:rsid w:val="00D53427"/>
    <w:rsid w:val="00D54D43"/>
    <w:rsid w:val="00D55D9F"/>
    <w:rsid w:val="00D56675"/>
    <w:rsid w:val="00D56C86"/>
    <w:rsid w:val="00D57131"/>
    <w:rsid w:val="00D60429"/>
    <w:rsid w:val="00D60A47"/>
    <w:rsid w:val="00D642C1"/>
    <w:rsid w:val="00D655F7"/>
    <w:rsid w:val="00D65D42"/>
    <w:rsid w:val="00D6773D"/>
    <w:rsid w:val="00D74473"/>
    <w:rsid w:val="00D752B6"/>
    <w:rsid w:val="00D75359"/>
    <w:rsid w:val="00D76908"/>
    <w:rsid w:val="00D83565"/>
    <w:rsid w:val="00D84BAF"/>
    <w:rsid w:val="00D85127"/>
    <w:rsid w:val="00D85F8D"/>
    <w:rsid w:val="00D90DA8"/>
    <w:rsid w:val="00D928DF"/>
    <w:rsid w:val="00D92F6E"/>
    <w:rsid w:val="00D93AB4"/>
    <w:rsid w:val="00D9424C"/>
    <w:rsid w:val="00D943EF"/>
    <w:rsid w:val="00D96DF1"/>
    <w:rsid w:val="00D97F9E"/>
    <w:rsid w:val="00DA14E1"/>
    <w:rsid w:val="00DB066F"/>
    <w:rsid w:val="00DB1B9F"/>
    <w:rsid w:val="00DB2261"/>
    <w:rsid w:val="00DB34EE"/>
    <w:rsid w:val="00DB56EF"/>
    <w:rsid w:val="00DB7171"/>
    <w:rsid w:val="00DB72CB"/>
    <w:rsid w:val="00DB7397"/>
    <w:rsid w:val="00DB79FD"/>
    <w:rsid w:val="00DC00AE"/>
    <w:rsid w:val="00DC0361"/>
    <w:rsid w:val="00DC1AA7"/>
    <w:rsid w:val="00DC539D"/>
    <w:rsid w:val="00DD2321"/>
    <w:rsid w:val="00DD598F"/>
    <w:rsid w:val="00DD67B4"/>
    <w:rsid w:val="00DD6A5E"/>
    <w:rsid w:val="00DE1555"/>
    <w:rsid w:val="00DE7D2F"/>
    <w:rsid w:val="00DF5A0C"/>
    <w:rsid w:val="00DF64F0"/>
    <w:rsid w:val="00E00CF3"/>
    <w:rsid w:val="00E02533"/>
    <w:rsid w:val="00E025ED"/>
    <w:rsid w:val="00E02636"/>
    <w:rsid w:val="00E02AC5"/>
    <w:rsid w:val="00E02B83"/>
    <w:rsid w:val="00E03445"/>
    <w:rsid w:val="00E03C00"/>
    <w:rsid w:val="00E0433B"/>
    <w:rsid w:val="00E05607"/>
    <w:rsid w:val="00E110C3"/>
    <w:rsid w:val="00E1195F"/>
    <w:rsid w:val="00E1202A"/>
    <w:rsid w:val="00E12922"/>
    <w:rsid w:val="00E20EB0"/>
    <w:rsid w:val="00E21FEA"/>
    <w:rsid w:val="00E23A6C"/>
    <w:rsid w:val="00E23EA9"/>
    <w:rsid w:val="00E25FA8"/>
    <w:rsid w:val="00E27382"/>
    <w:rsid w:val="00E27DA9"/>
    <w:rsid w:val="00E32802"/>
    <w:rsid w:val="00E3286D"/>
    <w:rsid w:val="00E332A0"/>
    <w:rsid w:val="00E34680"/>
    <w:rsid w:val="00E34CE1"/>
    <w:rsid w:val="00E3611B"/>
    <w:rsid w:val="00E3724B"/>
    <w:rsid w:val="00E37BFB"/>
    <w:rsid w:val="00E426BE"/>
    <w:rsid w:val="00E441C6"/>
    <w:rsid w:val="00E45AA5"/>
    <w:rsid w:val="00E47B61"/>
    <w:rsid w:val="00E52244"/>
    <w:rsid w:val="00E54E7D"/>
    <w:rsid w:val="00E5583C"/>
    <w:rsid w:val="00E55C1F"/>
    <w:rsid w:val="00E5647C"/>
    <w:rsid w:val="00E600A9"/>
    <w:rsid w:val="00E63260"/>
    <w:rsid w:val="00E64BE9"/>
    <w:rsid w:val="00E64D02"/>
    <w:rsid w:val="00E66EAF"/>
    <w:rsid w:val="00E701AA"/>
    <w:rsid w:val="00E7078A"/>
    <w:rsid w:val="00E70EC3"/>
    <w:rsid w:val="00E73D84"/>
    <w:rsid w:val="00E74552"/>
    <w:rsid w:val="00E749BB"/>
    <w:rsid w:val="00E81C37"/>
    <w:rsid w:val="00E83431"/>
    <w:rsid w:val="00E841D1"/>
    <w:rsid w:val="00E84C61"/>
    <w:rsid w:val="00E8687C"/>
    <w:rsid w:val="00E8756B"/>
    <w:rsid w:val="00E8757E"/>
    <w:rsid w:val="00E9092A"/>
    <w:rsid w:val="00E90D40"/>
    <w:rsid w:val="00E91BA3"/>
    <w:rsid w:val="00E91CF4"/>
    <w:rsid w:val="00E9213A"/>
    <w:rsid w:val="00E929B6"/>
    <w:rsid w:val="00E92D3E"/>
    <w:rsid w:val="00E9371E"/>
    <w:rsid w:val="00E940BC"/>
    <w:rsid w:val="00E9422E"/>
    <w:rsid w:val="00E94FFB"/>
    <w:rsid w:val="00E95932"/>
    <w:rsid w:val="00E97485"/>
    <w:rsid w:val="00EA0CEE"/>
    <w:rsid w:val="00EA28C2"/>
    <w:rsid w:val="00EA2B5C"/>
    <w:rsid w:val="00EA3392"/>
    <w:rsid w:val="00EA56DC"/>
    <w:rsid w:val="00EA615B"/>
    <w:rsid w:val="00EA6164"/>
    <w:rsid w:val="00EA6A48"/>
    <w:rsid w:val="00EA7C45"/>
    <w:rsid w:val="00EB1B55"/>
    <w:rsid w:val="00EB3AC0"/>
    <w:rsid w:val="00EB3B0D"/>
    <w:rsid w:val="00EB4B5F"/>
    <w:rsid w:val="00EB66B1"/>
    <w:rsid w:val="00EB7A78"/>
    <w:rsid w:val="00EC0323"/>
    <w:rsid w:val="00EC3C00"/>
    <w:rsid w:val="00EC4378"/>
    <w:rsid w:val="00EC4EBC"/>
    <w:rsid w:val="00EC595B"/>
    <w:rsid w:val="00EC6AFF"/>
    <w:rsid w:val="00EC7313"/>
    <w:rsid w:val="00ED0121"/>
    <w:rsid w:val="00ED43EB"/>
    <w:rsid w:val="00ED45CB"/>
    <w:rsid w:val="00ED4D45"/>
    <w:rsid w:val="00ED582D"/>
    <w:rsid w:val="00EE1592"/>
    <w:rsid w:val="00EE174E"/>
    <w:rsid w:val="00EE2B67"/>
    <w:rsid w:val="00EE4AB5"/>
    <w:rsid w:val="00EF152A"/>
    <w:rsid w:val="00EF1B6D"/>
    <w:rsid w:val="00EF25DE"/>
    <w:rsid w:val="00EF2D56"/>
    <w:rsid w:val="00EF3F08"/>
    <w:rsid w:val="00EF3F18"/>
    <w:rsid w:val="00EF445E"/>
    <w:rsid w:val="00EF5A27"/>
    <w:rsid w:val="00F00B8D"/>
    <w:rsid w:val="00F01661"/>
    <w:rsid w:val="00F01D7B"/>
    <w:rsid w:val="00F05A18"/>
    <w:rsid w:val="00F06FBA"/>
    <w:rsid w:val="00F13E69"/>
    <w:rsid w:val="00F140B5"/>
    <w:rsid w:val="00F203E6"/>
    <w:rsid w:val="00F21467"/>
    <w:rsid w:val="00F2149A"/>
    <w:rsid w:val="00F21FB9"/>
    <w:rsid w:val="00F25F97"/>
    <w:rsid w:val="00F26D2C"/>
    <w:rsid w:val="00F35367"/>
    <w:rsid w:val="00F3592E"/>
    <w:rsid w:val="00F36AC1"/>
    <w:rsid w:val="00F37CC9"/>
    <w:rsid w:val="00F43398"/>
    <w:rsid w:val="00F44D3A"/>
    <w:rsid w:val="00F4504F"/>
    <w:rsid w:val="00F475AD"/>
    <w:rsid w:val="00F5004C"/>
    <w:rsid w:val="00F54683"/>
    <w:rsid w:val="00F54FEF"/>
    <w:rsid w:val="00F56D3C"/>
    <w:rsid w:val="00F57FF5"/>
    <w:rsid w:val="00F61662"/>
    <w:rsid w:val="00F61B55"/>
    <w:rsid w:val="00F62150"/>
    <w:rsid w:val="00F621F4"/>
    <w:rsid w:val="00F6427E"/>
    <w:rsid w:val="00F64AE8"/>
    <w:rsid w:val="00F67B46"/>
    <w:rsid w:val="00F67D2E"/>
    <w:rsid w:val="00F71891"/>
    <w:rsid w:val="00F81587"/>
    <w:rsid w:val="00F83954"/>
    <w:rsid w:val="00F84556"/>
    <w:rsid w:val="00F85932"/>
    <w:rsid w:val="00F85BBA"/>
    <w:rsid w:val="00F865AF"/>
    <w:rsid w:val="00F9050C"/>
    <w:rsid w:val="00F9077F"/>
    <w:rsid w:val="00F9526A"/>
    <w:rsid w:val="00FA1BD5"/>
    <w:rsid w:val="00FA1E4B"/>
    <w:rsid w:val="00FA2F23"/>
    <w:rsid w:val="00FA58E8"/>
    <w:rsid w:val="00FB0217"/>
    <w:rsid w:val="00FB197B"/>
    <w:rsid w:val="00FB20D7"/>
    <w:rsid w:val="00FB23B8"/>
    <w:rsid w:val="00FB2469"/>
    <w:rsid w:val="00FB2BDD"/>
    <w:rsid w:val="00FB68CF"/>
    <w:rsid w:val="00FC1677"/>
    <w:rsid w:val="00FC3FC0"/>
    <w:rsid w:val="00FC4523"/>
    <w:rsid w:val="00FC59E8"/>
    <w:rsid w:val="00FC6FB3"/>
    <w:rsid w:val="00FC7250"/>
    <w:rsid w:val="00FD1A7B"/>
    <w:rsid w:val="00FD1DA9"/>
    <w:rsid w:val="00FD63F8"/>
    <w:rsid w:val="00FD6E5A"/>
    <w:rsid w:val="00FE0F7B"/>
    <w:rsid w:val="00FE2AC4"/>
    <w:rsid w:val="00FE31D0"/>
    <w:rsid w:val="00FE3ED9"/>
    <w:rsid w:val="00FE4CC7"/>
    <w:rsid w:val="00FE5959"/>
    <w:rsid w:val="00FE63FD"/>
    <w:rsid w:val="00FF04D5"/>
    <w:rsid w:val="00FF3C42"/>
    <w:rsid w:val="00FF53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6A88"/>
  <w15:chartTrackingRefBased/>
  <w15:docId w15:val="{C316B7B3-57A5-413A-8C62-E83FE6AC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FC3"/>
    <w:pPr>
      <w:spacing w:after="0" w:line="240" w:lineRule="auto"/>
    </w:pPr>
    <w:rPr>
      <w:rFonts w:ascii="Calibri" w:eastAsia="Times New Roman" w:hAnsi="Calibri" w:cs="Times New Roman"/>
      <w:sz w:val="24"/>
      <w:szCs w:val="24"/>
    </w:rPr>
  </w:style>
  <w:style w:type="paragraph" w:styleId="Ttulo1">
    <w:name w:val="heading 1"/>
    <w:basedOn w:val="Normal"/>
    <w:link w:val="Ttulo1Car"/>
    <w:uiPriority w:val="9"/>
    <w:qFormat/>
    <w:rsid w:val="00703A0A"/>
    <w:pPr>
      <w:widowControl w:val="0"/>
      <w:autoSpaceDE w:val="0"/>
      <w:autoSpaceDN w:val="0"/>
      <w:ind w:left="162"/>
      <w:outlineLvl w:val="0"/>
    </w:pPr>
    <w:rPr>
      <w:rFonts w:ascii="Arial" w:eastAsia="Arial" w:hAnsi="Arial" w:cs="Arial"/>
      <w:b/>
      <w:bCs/>
      <w:lang w:val="es-ES"/>
    </w:rPr>
  </w:style>
  <w:style w:type="paragraph" w:styleId="Ttulo2">
    <w:name w:val="heading 2"/>
    <w:basedOn w:val="Normal"/>
    <w:next w:val="Normal"/>
    <w:link w:val="Ttulo2Car"/>
    <w:uiPriority w:val="9"/>
    <w:unhideWhenUsed/>
    <w:qFormat/>
    <w:rsid w:val="00271FC3"/>
    <w:pPr>
      <w:keepNext/>
      <w:spacing w:before="240" w:after="60"/>
      <w:outlineLvl w:val="1"/>
    </w:pPr>
    <w:rPr>
      <w:rFonts w:ascii="Calibri Light" w:hAnsi="Calibri Light"/>
      <w:b/>
      <w:bCs/>
      <w:i/>
      <w:iCs/>
      <w:sz w:val="28"/>
      <w:szCs w:val="28"/>
    </w:rPr>
  </w:style>
  <w:style w:type="paragraph" w:styleId="Ttulo4">
    <w:name w:val="heading 4"/>
    <w:basedOn w:val="Normal"/>
    <w:next w:val="Normal"/>
    <w:link w:val="Ttulo4Car"/>
    <w:uiPriority w:val="9"/>
    <w:unhideWhenUsed/>
    <w:qFormat/>
    <w:rsid w:val="00034015"/>
    <w:pPr>
      <w:keepNext/>
      <w:keepLines/>
      <w:spacing w:before="40"/>
      <w:outlineLvl w:val="3"/>
    </w:pPr>
    <w:rPr>
      <w:rFonts w:asciiTheme="majorHAnsi" w:eastAsiaTheme="majorEastAsia" w:hAnsiTheme="majorHAnsi" w:cstheme="majorBidi"/>
      <w:i/>
      <w:iCs/>
      <w:color w:val="2F5496" w:themeColor="accent1" w:themeShade="BF"/>
      <w:sz w:val="22"/>
      <w:szCs w:val="2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3A0A"/>
    <w:rPr>
      <w:rFonts w:ascii="Arial" w:eastAsia="Arial" w:hAnsi="Arial" w:cs="Arial"/>
      <w:b/>
      <w:bCs/>
      <w:sz w:val="24"/>
      <w:szCs w:val="24"/>
      <w:lang w:val="es-ES"/>
    </w:rPr>
  </w:style>
  <w:style w:type="character" w:customStyle="1" w:styleId="Ttulo2Car">
    <w:name w:val="Título 2 Car"/>
    <w:basedOn w:val="Fuentedeprrafopredeter"/>
    <w:link w:val="Ttulo2"/>
    <w:uiPriority w:val="9"/>
    <w:rsid w:val="00271FC3"/>
    <w:rPr>
      <w:rFonts w:ascii="Calibri Light" w:eastAsia="Times New Roman" w:hAnsi="Calibri Light" w:cs="Times New Roman"/>
      <w:b/>
      <w:bCs/>
      <w:i/>
      <w:iCs/>
      <w:sz w:val="28"/>
      <w:szCs w:val="28"/>
    </w:rPr>
  </w:style>
  <w:style w:type="paragraph" w:styleId="Encabezado">
    <w:name w:val="header"/>
    <w:basedOn w:val="Normal"/>
    <w:link w:val="EncabezadoCar"/>
    <w:uiPriority w:val="99"/>
    <w:rsid w:val="00271FC3"/>
    <w:pPr>
      <w:tabs>
        <w:tab w:val="center" w:pos="4252"/>
        <w:tab w:val="right" w:pos="8504"/>
      </w:tabs>
    </w:pPr>
    <w:rPr>
      <w:lang w:eastAsia="x-none"/>
    </w:rPr>
  </w:style>
  <w:style w:type="character" w:customStyle="1" w:styleId="EncabezadoCar">
    <w:name w:val="Encabezado Car"/>
    <w:basedOn w:val="Fuentedeprrafopredeter"/>
    <w:link w:val="Encabezado"/>
    <w:uiPriority w:val="99"/>
    <w:rsid w:val="00271FC3"/>
    <w:rPr>
      <w:rFonts w:ascii="Calibri" w:eastAsia="Times New Roman" w:hAnsi="Calibri" w:cs="Times New Roman"/>
      <w:sz w:val="24"/>
      <w:szCs w:val="24"/>
      <w:lang w:eastAsia="x-none"/>
    </w:rPr>
  </w:style>
  <w:style w:type="paragraph" w:styleId="Piedepgina">
    <w:name w:val="footer"/>
    <w:basedOn w:val="Normal"/>
    <w:link w:val="PiedepginaCar"/>
    <w:uiPriority w:val="99"/>
    <w:rsid w:val="00271FC3"/>
    <w:pPr>
      <w:tabs>
        <w:tab w:val="center" w:pos="4252"/>
        <w:tab w:val="right" w:pos="8504"/>
      </w:tabs>
    </w:pPr>
    <w:rPr>
      <w:lang w:eastAsia="x-none"/>
    </w:rPr>
  </w:style>
  <w:style w:type="character" w:customStyle="1" w:styleId="PiedepginaCar">
    <w:name w:val="Pie de página Car"/>
    <w:basedOn w:val="Fuentedeprrafopredeter"/>
    <w:link w:val="Piedepgina"/>
    <w:uiPriority w:val="99"/>
    <w:rsid w:val="00271FC3"/>
    <w:rPr>
      <w:rFonts w:ascii="Calibri" w:eastAsia="Times New Roman" w:hAnsi="Calibri" w:cs="Times New Roman"/>
      <w:sz w:val="24"/>
      <w:szCs w:val="24"/>
      <w:lang w:eastAsia="x-none"/>
    </w:rPr>
  </w:style>
  <w:style w:type="character" w:styleId="Hipervnculo">
    <w:name w:val="Hyperlink"/>
    <w:uiPriority w:val="99"/>
    <w:rsid w:val="00271FC3"/>
    <w:rPr>
      <w:color w:val="0000FF"/>
      <w:u w:val="single"/>
    </w:rPr>
  </w:style>
  <w:style w:type="paragraph" w:styleId="Prrafodelista">
    <w:name w:val="List Paragraph"/>
    <w:basedOn w:val="Normal"/>
    <w:uiPriority w:val="34"/>
    <w:qFormat/>
    <w:rsid w:val="00271FC3"/>
    <w:pPr>
      <w:ind w:left="720"/>
      <w:contextualSpacing/>
    </w:pPr>
  </w:style>
  <w:style w:type="character" w:styleId="Refdenotaalpie">
    <w:name w:val="footnote reference"/>
    <w:aliases w:val="Ref. de nota al pie 2,Texto de nota al pie,Footnotes refss,Appel note de bas de page,referencia nota al pie,Pie de Página,FC,Nota de pie,Texto nota al pie,Ref,de nota al pie,Ref1,Footnote number,BVI fnr,f,Fago Fußnotenzeichen,4_G,F,4"/>
    <w:link w:val="4GChar"/>
    <w:uiPriority w:val="99"/>
    <w:qFormat/>
    <w:rsid w:val="00271FC3"/>
    <w:rPr>
      <w:rFonts w:cs="Times New Roman"/>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71FC3"/>
    <w:pPr>
      <w:jc w:val="both"/>
    </w:pPr>
    <w:rPr>
      <w:rFonts w:asciiTheme="minorHAnsi" w:eastAsiaTheme="minorHAnsi" w:hAnsiTheme="minorHAnsi"/>
      <w:sz w:val="22"/>
      <w:szCs w:val="22"/>
      <w:vertAlign w:val="superscript"/>
    </w:rPr>
  </w:style>
  <w:style w:type="paragraph" w:styleId="Textonotapie">
    <w:name w:val="footnote text"/>
    <w:aliases w:val="Footnote Text Char Char Char Char Char,Footnote Text Char Char Char Char,Footnote reference,FA Fu,texto de nota al pie,Footnote Text Char,Footnote Text Char Char Char Char Char Char Char Char,MI NOTA PIE DE PÁGINA (TEXTO),Texto nota pie C"/>
    <w:basedOn w:val="Normal"/>
    <w:link w:val="TextonotapieCar"/>
    <w:uiPriority w:val="99"/>
    <w:qFormat/>
    <w:rsid w:val="00271FC3"/>
    <w:pPr>
      <w:overflowPunct w:val="0"/>
      <w:autoSpaceDE w:val="0"/>
      <w:autoSpaceDN w:val="0"/>
      <w:adjustRightInd w:val="0"/>
      <w:textAlignment w:val="baseline"/>
    </w:pPr>
    <w:rPr>
      <w:rFonts w:ascii="Times New Roman" w:hAnsi="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basedOn w:val="Fuentedeprrafopredeter"/>
    <w:link w:val="Textonotapie"/>
    <w:uiPriority w:val="99"/>
    <w:qFormat/>
    <w:rsid w:val="00271FC3"/>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71FC3"/>
    <w:pPr>
      <w:spacing w:before="100" w:beforeAutospacing="1" w:after="100" w:afterAutospacing="1"/>
    </w:pPr>
    <w:rPr>
      <w:rFonts w:ascii="Times New Roman" w:hAnsi="Times New Roman"/>
      <w:lang w:eastAsia="es-CO"/>
    </w:rPr>
  </w:style>
  <w:style w:type="paragraph" w:customStyle="1" w:styleId="Default">
    <w:name w:val="Default"/>
    <w:rsid w:val="00B21661"/>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1"/>
    <w:qFormat/>
    <w:rsid w:val="00703A0A"/>
    <w:pPr>
      <w:widowControl w:val="0"/>
      <w:autoSpaceDE w:val="0"/>
      <w:autoSpaceDN w:val="0"/>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703A0A"/>
    <w:rPr>
      <w:rFonts w:ascii="Arial MT" w:eastAsia="Arial MT" w:hAnsi="Arial MT" w:cs="Arial MT"/>
      <w:sz w:val="24"/>
      <w:szCs w:val="24"/>
      <w:lang w:val="es-ES"/>
    </w:rPr>
  </w:style>
  <w:style w:type="paragraph" w:customStyle="1" w:styleId="TableParagraph">
    <w:name w:val="Table Paragraph"/>
    <w:basedOn w:val="Normal"/>
    <w:uiPriority w:val="1"/>
    <w:qFormat/>
    <w:rsid w:val="00703A0A"/>
    <w:pPr>
      <w:widowControl w:val="0"/>
      <w:autoSpaceDE w:val="0"/>
      <w:autoSpaceDN w:val="0"/>
    </w:pPr>
    <w:rPr>
      <w:rFonts w:ascii="Arial" w:eastAsia="Arial" w:hAnsi="Arial" w:cs="Arial"/>
      <w:sz w:val="22"/>
      <w:szCs w:val="22"/>
      <w:lang w:val="es-ES"/>
    </w:rPr>
  </w:style>
  <w:style w:type="character" w:styleId="Mencinsinresolver">
    <w:name w:val="Unresolved Mention"/>
    <w:basedOn w:val="Fuentedeprrafopredeter"/>
    <w:uiPriority w:val="99"/>
    <w:semiHidden/>
    <w:unhideWhenUsed/>
    <w:rsid w:val="00D9424C"/>
    <w:rPr>
      <w:color w:val="605E5C"/>
      <w:shd w:val="clear" w:color="auto" w:fill="E1DFDD"/>
    </w:rPr>
  </w:style>
  <w:style w:type="character" w:customStyle="1" w:styleId="baj">
    <w:name w:val="b_aj"/>
    <w:basedOn w:val="Fuentedeprrafopredeter"/>
    <w:rsid w:val="000245F5"/>
  </w:style>
  <w:style w:type="character" w:styleId="Textoennegrita">
    <w:name w:val="Strong"/>
    <w:basedOn w:val="Fuentedeprrafopredeter"/>
    <w:uiPriority w:val="22"/>
    <w:qFormat/>
    <w:rsid w:val="00D60429"/>
    <w:rPr>
      <w:b/>
      <w:bCs/>
    </w:rPr>
  </w:style>
  <w:style w:type="character" w:styleId="Refdecomentario">
    <w:name w:val="annotation reference"/>
    <w:basedOn w:val="Fuentedeprrafopredeter"/>
    <w:uiPriority w:val="99"/>
    <w:semiHidden/>
    <w:unhideWhenUsed/>
    <w:rsid w:val="00864D41"/>
    <w:rPr>
      <w:sz w:val="16"/>
      <w:szCs w:val="16"/>
    </w:rPr>
  </w:style>
  <w:style w:type="paragraph" w:styleId="Textocomentario">
    <w:name w:val="annotation text"/>
    <w:basedOn w:val="Normal"/>
    <w:link w:val="TextocomentarioCar"/>
    <w:uiPriority w:val="99"/>
    <w:semiHidden/>
    <w:unhideWhenUsed/>
    <w:rsid w:val="00864D41"/>
    <w:rPr>
      <w:sz w:val="20"/>
      <w:szCs w:val="20"/>
    </w:rPr>
  </w:style>
  <w:style w:type="character" w:customStyle="1" w:styleId="TextocomentarioCar">
    <w:name w:val="Texto comentario Car"/>
    <w:basedOn w:val="Fuentedeprrafopredeter"/>
    <w:link w:val="Textocomentario"/>
    <w:uiPriority w:val="99"/>
    <w:semiHidden/>
    <w:rsid w:val="00864D41"/>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64D41"/>
    <w:rPr>
      <w:b/>
      <w:bCs/>
    </w:rPr>
  </w:style>
  <w:style w:type="character" w:customStyle="1" w:styleId="AsuntodelcomentarioCar">
    <w:name w:val="Asunto del comentario Car"/>
    <w:basedOn w:val="TextocomentarioCar"/>
    <w:link w:val="Asuntodelcomentario"/>
    <w:uiPriority w:val="99"/>
    <w:semiHidden/>
    <w:rsid w:val="00864D41"/>
    <w:rPr>
      <w:rFonts w:ascii="Calibri" w:eastAsia="Times New Roman" w:hAnsi="Calibri" w:cs="Times New Roman"/>
      <w:b/>
      <w:bCs/>
      <w:sz w:val="20"/>
      <w:szCs w:val="20"/>
    </w:rPr>
  </w:style>
  <w:style w:type="character" w:customStyle="1" w:styleId="Ttulo4Car">
    <w:name w:val="Título 4 Car"/>
    <w:basedOn w:val="Fuentedeprrafopredeter"/>
    <w:link w:val="Ttulo4"/>
    <w:uiPriority w:val="9"/>
    <w:rsid w:val="00034015"/>
    <w:rPr>
      <w:rFonts w:asciiTheme="majorHAnsi" w:eastAsiaTheme="majorEastAsia" w:hAnsiTheme="majorHAnsi" w:cstheme="majorBidi"/>
      <w:i/>
      <w:iCs/>
      <w:color w:val="2F5496" w:themeColor="accent1" w:themeShade="BF"/>
      <w:lang w:eastAsia="es-CO"/>
    </w:rPr>
  </w:style>
  <w:style w:type="paragraph" w:customStyle="1" w:styleId="footnotedescription">
    <w:name w:val="footnote description"/>
    <w:next w:val="Normal"/>
    <w:link w:val="footnotedescriptionChar"/>
    <w:hidden/>
    <w:rsid w:val="008B62B5"/>
    <w:pPr>
      <w:spacing w:after="0" w:line="250" w:lineRule="auto"/>
      <w:ind w:right="93"/>
      <w:jc w:val="both"/>
    </w:pPr>
    <w:rPr>
      <w:rFonts w:ascii="Arial" w:eastAsia="Arial" w:hAnsi="Arial" w:cs="Arial"/>
      <w:color w:val="000000"/>
      <w:sz w:val="20"/>
      <w:lang w:eastAsia="es-CO"/>
    </w:rPr>
  </w:style>
  <w:style w:type="character" w:customStyle="1" w:styleId="footnotedescriptionChar">
    <w:name w:val="footnote description Char"/>
    <w:link w:val="footnotedescription"/>
    <w:rsid w:val="008B62B5"/>
    <w:rPr>
      <w:rFonts w:ascii="Arial" w:eastAsia="Arial" w:hAnsi="Arial" w:cs="Arial"/>
      <w:color w:val="000000"/>
      <w:sz w:val="20"/>
      <w:lang w:eastAsia="es-CO"/>
    </w:rPr>
  </w:style>
  <w:style w:type="character" w:customStyle="1" w:styleId="footnotemark">
    <w:name w:val="footnote mark"/>
    <w:hidden/>
    <w:rsid w:val="008B62B5"/>
    <w:rPr>
      <w:rFonts w:ascii="Arial" w:eastAsia="Arial" w:hAnsi="Arial" w:cs="Arial"/>
      <w:color w:val="000000"/>
      <w:sz w:val="20"/>
      <w:vertAlign w:val="superscript"/>
    </w:rPr>
  </w:style>
  <w:style w:type="character" w:customStyle="1" w:styleId="grkhzd">
    <w:name w:val="grkhzd"/>
    <w:basedOn w:val="Fuentedeprrafopredeter"/>
    <w:rsid w:val="006F6294"/>
  </w:style>
  <w:style w:type="character" w:customStyle="1" w:styleId="lrzxr">
    <w:name w:val="lrzxr"/>
    <w:basedOn w:val="Fuentedeprrafopredeter"/>
    <w:rsid w:val="006F6294"/>
  </w:style>
  <w:style w:type="paragraph" w:styleId="Revisin">
    <w:name w:val="Revision"/>
    <w:hidden/>
    <w:uiPriority w:val="99"/>
    <w:semiHidden/>
    <w:rsid w:val="002258E0"/>
    <w:pPr>
      <w:spacing w:after="0"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5437">
      <w:bodyDiv w:val="1"/>
      <w:marLeft w:val="0"/>
      <w:marRight w:val="0"/>
      <w:marTop w:val="0"/>
      <w:marBottom w:val="0"/>
      <w:divBdr>
        <w:top w:val="none" w:sz="0" w:space="0" w:color="auto"/>
        <w:left w:val="none" w:sz="0" w:space="0" w:color="auto"/>
        <w:bottom w:val="none" w:sz="0" w:space="0" w:color="auto"/>
        <w:right w:val="none" w:sz="0" w:space="0" w:color="auto"/>
      </w:divBdr>
    </w:div>
    <w:div w:id="240021539">
      <w:bodyDiv w:val="1"/>
      <w:marLeft w:val="0"/>
      <w:marRight w:val="0"/>
      <w:marTop w:val="0"/>
      <w:marBottom w:val="0"/>
      <w:divBdr>
        <w:top w:val="none" w:sz="0" w:space="0" w:color="auto"/>
        <w:left w:val="none" w:sz="0" w:space="0" w:color="auto"/>
        <w:bottom w:val="none" w:sz="0" w:space="0" w:color="auto"/>
        <w:right w:val="none" w:sz="0" w:space="0" w:color="auto"/>
      </w:divBdr>
    </w:div>
    <w:div w:id="350379090">
      <w:bodyDiv w:val="1"/>
      <w:marLeft w:val="0"/>
      <w:marRight w:val="0"/>
      <w:marTop w:val="0"/>
      <w:marBottom w:val="0"/>
      <w:divBdr>
        <w:top w:val="none" w:sz="0" w:space="0" w:color="auto"/>
        <w:left w:val="none" w:sz="0" w:space="0" w:color="auto"/>
        <w:bottom w:val="none" w:sz="0" w:space="0" w:color="auto"/>
        <w:right w:val="none" w:sz="0" w:space="0" w:color="auto"/>
      </w:divBdr>
      <w:divsChild>
        <w:div w:id="952394763">
          <w:marLeft w:val="0"/>
          <w:marRight w:val="0"/>
          <w:marTop w:val="0"/>
          <w:marBottom w:val="0"/>
          <w:divBdr>
            <w:top w:val="none" w:sz="0" w:space="0" w:color="auto"/>
            <w:left w:val="none" w:sz="0" w:space="0" w:color="auto"/>
            <w:bottom w:val="none" w:sz="0" w:space="0" w:color="auto"/>
            <w:right w:val="none" w:sz="0" w:space="0" w:color="auto"/>
          </w:divBdr>
        </w:div>
      </w:divsChild>
    </w:div>
    <w:div w:id="474832620">
      <w:bodyDiv w:val="1"/>
      <w:marLeft w:val="0"/>
      <w:marRight w:val="0"/>
      <w:marTop w:val="0"/>
      <w:marBottom w:val="0"/>
      <w:divBdr>
        <w:top w:val="none" w:sz="0" w:space="0" w:color="auto"/>
        <w:left w:val="none" w:sz="0" w:space="0" w:color="auto"/>
        <w:bottom w:val="none" w:sz="0" w:space="0" w:color="auto"/>
        <w:right w:val="none" w:sz="0" w:space="0" w:color="auto"/>
      </w:divBdr>
    </w:div>
    <w:div w:id="580484006">
      <w:bodyDiv w:val="1"/>
      <w:marLeft w:val="0"/>
      <w:marRight w:val="0"/>
      <w:marTop w:val="0"/>
      <w:marBottom w:val="0"/>
      <w:divBdr>
        <w:top w:val="none" w:sz="0" w:space="0" w:color="auto"/>
        <w:left w:val="none" w:sz="0" w:space="0" w:color="auto"/>
        <w:bottom w:val="none" w:sz="0" w:space="0" w:color="auto"/>
        <w:right w:val="none" w:sz="0" w:space="0" w:color="auto"/>
      </w:divBdr>
    </w:div>
    <w:div w:id="640770091">
      <w:bodyDiv w:val="1"/>
      <w:marLeft w:val="0"/>
      <w:marRight w:val="0"/>
      <w:marTop w:val="0"/>
      <w:marBottom w:val="0"/>
      <w:divBdr>
        <w:top w:val="none" w:sz="0" w:space="0" w:color="auto"/>
        <w:left w:val="none" w:sz="0" w:space="0" w:color="auto"/>
        <w:bottom w:val="none" w:sz="0" w:space="0" w:color="auto"/>
        <w:right w:val="none" w:sz="0" w:space="0" w:color="auto"/>
      </w:divBdr>
    </w:div>
    <w:div w:id="686565567">
      <w:bodyDiv w:val="1"/>
      <w:marLeft w:val="0"/>
      <w:marRight w:val="0"/>
      <w:marTop w:val="0"/>
      <w:marBottom w:val="0"/>
      <w:divBdr>
        <w:top w:val="none" w:sz="0" w:space="0" w:color="auto"/>
        <w:left w:val="none" w:sz="0" w:space="0" w:color="auto"/>
        <w:bottom w:val="none" w:sz="0" w:space="0" w:color="auto"/>
        <w:right w:val="none" w:sz="0" w:space="0" w:color="auto"/>
      </w:divBdr>
    </w:div>
    <w:div w:id="720176360">
      <w:bodyDiv w:val="1"/>
      <w:marLeft w:val="0"/>
      <w:marRight w:val="0"/>
      <w:marTop w:val="0"/>
      <w:marBottom w:val="0"/>
      <w:divBdr>
        <w:top w:val="none" w:sz="0" w:space="0" w:color="auto"/>
        <w:left w:val="none" w:sz="0" w:space="0" w:color="auto"/>
        <w:bottom w:val="none" w:sz="0" w:space="0" w:color="auto"/>
        <w:right w:val="none" w:sz="0" w:space="0" w:color="auto"/>
      </w:divBdr>
    </w:div>
    <w:div w:id="768087269">
      <w:bodyDiv w:val="1"/>
      <w:marLeft w:val="0"/>
      <w:marRight w:val="0"/>
      <w:marTop w:val="0"/>
      <w:marBottom w:val="0"/>
      <w:divBdr>
        <w:top w:val="none" w:sz="0" w:space="0" w:color="auto"/>
        <w:left w:val="none" w:sz="0" w:space="0" w:color="auto"/>
        <w:bottom w:val="none" w:sz="0" w:space="0" w:color="auto"/>
        <w:right w:val="none" w:sz="0" w:space="0" w:color="auto"/>
      </w:divBdr>
    </w:div>
    <w:div w:id="993533664">
      <w:bodyDiv w:val="1"/>
      <w:marLeft w:val="0"/>
      <w:marRight w:val="0"/>
      <w:marTop w:val="0"/>
      <w:marBottom w:val="0"/>
      <w:divBdr>
        <w:top w:val="none" w:sz="0" w:space="0" w:color="auto"/>
        <w:left w:val="none" w:sz="0" w:space="0" w:color="auto"/>
        <w:bottom w:val="none" w:sz="0" w:space="0" w:color="auto"/>
        <w:right w:val="none" w:sz="0" w:space="0" w:color="auto"/>
      </w:divBdr>
    </w:div>
    <w:div w:id="1203637366">
      <w:bodyDiv w:val="1"/>
      <w:marLeft w:val="0"/>
      <w:marRight w:val="0"/>
      <w:marTop w:val="0"/>
      <w:marBottom w:val="0"/>
      <w:divBdr>
        <w:top w:val="none" w:sz="0" w:space="0" w:color="auto"/>
        <w:left w:val="none" w:sz="0" w:space="0" w:color="auto"/>
        <w:bottom w:val="none" w:sz="0" w:space="0" w:color="auto"/>
        <w:right w:val="none" w:sz="0" w:space="0" w:color="auto"/>
      </w:divBdr>
    </w:div>
    <w:div w:id="1204172973">
      <w:bodyDiv w:val="1"/>
      <w:marLeft w:val="0"/>
      <w:marRight w:val="0"/>
      <w:marTop w:val="0"/>
      <w:marBottom w:val="0"/>
      <w:divBdr>
        <w:top w:val="none" w:sz="0" w:space="0" w:color="auto"/>
        <w:left w:val="none" w:sz="0" w:space="0" w:color="auto"/>
        <w:bottom w:val="none" w:sz="0" w:space="0" w:color="auto"/>
        <w:right w:val="none" w:sz="0" w:space="0" w:color="auto"/>
      </w:divBdr>
    </w:div>
    <w:div w:id="1242257067">
      <w:bodyDiv w:val="1"/>
      <w:marLeft w:val="0"/>
      <w:marRight w:val="0"/>
      <w:marTop w:val="0"/>
      <w:marBottom w:val="0"/>
      <w:divBdr>
        <w:top w:val="none" w:sz="0" w:space="0" w:color="auto"/>
        <w:left w:val="none" w:sz="0" w:space="0" w:color="auto"/>
        <w:bottom w:val="none" w:sz="0" w:space="0" w:color="auto"/>
        <w:right w:val="none" w:sz="0" w:space="0" w:color="auto"/>
      </w:divBdr>
    </w:div>
    <w:div w:id="1315909644">
      <w:bodyDiv w:val="1"/>
      <w:marLeft w:val="0"/>
      <w:marRight w:val="0"/>
      <w:marTop w:val="0"/>
      <w:marBottom w:val="0"/>
      <w:divBdr>
        <w:top w:val="none" w:sz="0" w:space="0" w:color="auto"/>
        <w:left w:val="none" w:sz="0" w:space="0" w:color="auto"/>
        <w:bottom w:val="none" w:sz="0" w:space="0" w:color="auto"/>
        <w:right w:val="none" w:sz="0" w:space="0" w:color="auto"/>
      </w:divBdr>
    </w:div>
    <w:div w:id="1411659277">
      <w:bodyDiv w:val="1"/>
      <w:marLeft w:val="0"/>
      <w:marRight w:val="0"/>
      <w:marTop w:val="0"/>
      <w:marBottom w:val="0"/>
      <w:divBdr>
        <w:top w:val="none" w:sz="0" w:space="0" w:color="auto"/>
        <w:left w:val="none" w:sz="0" w:space="0" w:color="auto"/>
        <w:bottom w:val="none" w:sz="0" w:space="0" w:color="auto"/>
        <w:right w:val="none" w:sz="0" w:space="0" w:color="auto"/>
      </w:divBdr>
    </w:div>
    <w:div w:id="1425490199">
      <w:bodyDiv w:val="1"/>
      <w:marLeft w:val="0"/>
      <w:marRight w:val="0"/>
      <w:marTop w:val="0"/>
      <w:marBottom w:val="0"/>
      <w:divBdr>
        <w:top w:val="none" w:sz="0" w:space="0" w:color="auto"/>
        <w:left w:val="none" w:sz="0" w:space="0" w:color="auto"/>
        <w:bottom w:val="none" w:sz="0" w:space="0" w:color="auto"/>
        <w:right w:val="none" w:sz="0" w:space="0" w:color="auto"/>
      </w:divBdr>
    </w:div>
    <w:div w:id="1447889632">
      <w:bodyDiv w:val="1"/>
      <w:marLeft w:val="0"/>
      <w:marRight w:val="0"/>
      <w:marTop w:val="0"/>
      <w:marBottom w:val="0"/>
      <w:divBdr>
        <w:top w:val="none" w:sz="0" w:space="0" w:color="auto"/>
        <w:left w:val="none" w:sz="0" w:space="0" w:color="auto"/>
        <w:bottom w:val="none" w:sz="0" w:space="0" w:color="auto"/>
        <w:right w:val="none" w:sz="0" w:space="0" w:color="auto"/>
      </w:divBdr>
    </w:div>
    <w:div w:id="1564370482">
      <w:bodyDiv w:val="1"/>
      <w:marLeft w:val="0"/>
      <w:marRight w:val="0"/>
      <w:marTop w:val="0"/>
      <w:marBottom w:val="0"/>
      <w:divBdr>
        <w:top w:val="none" w:sz="0" w:space="0" w:color="auto"/>
        <w:left w:val="none" w:sz="0" w:space="0" w:color="auto"/>
        <w:bottom w:val="none" w:sz="0" w:space="0" w:color="auto"/>
        <w:right w:val="none" w:sz="0" w:space="0" w:color="auto"/>
      </w:divBdr>
    </w:div>
    <w:div w:id="1726945592">
      <w:bodyDiv w:val="1"/>
      <w:marLeft w:val="0"/>
      <w:marRight w:val="0"/>
      <w:marTop w:val="0"/>
      <w:marBottom w:val="0"/>
      <w:divBdr>
        <w:top w:val="none" w:sz="0" w:space="0" w:color="auto"/>
        <w:left w:val="none" w:sz="0" w:space="0" w:color="auto"/>
        <w:bottom w:val="none" w:sz="0" w:space="0" w:color="auto"/>
        <w:right w:val="none" w:sz="0" w:space="0" w:color="auto"/>
      </w:divBdr>
    </w:div>
    <w:div w:id="17439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newwindow=1&amp;rlz=1C1CHBF_esCO867CO867&amp;sxsrf=AOaemvIo6vEY9prryMfmEtCAQlQEPI1jIA:1632157600207&amp;q=caja+de+vivienda+popular+phone&amp;ludocid=310556895057545311&amp;sa=X&amp;ved=2ahUKEwigzOjvhI7zAhWlRzABHX1wCZgQ6BN6BAg1EAI" TargetMode="External"/><Relationship Id="rId13" Type="http://schemas.openxmlformats.org/officeDocument/2006/relationships/hyperlink" Target="http://www.secretariasenado.gov.co/senado/basedoc/ley_1106_2006.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cretariasenado.gov.co/senado/basedoc/ley_1106_2006.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pazos@shd.gov.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106_2006.html" TargetMode="External"/><Relationship Id="rId5" Type="http://schemas.openxmlformats.org/officeDocument/2006/relationships/webSettings" Target="webSettings.xml"/><Relationship Id="rId15" Type="http://schemas.openxmlformats.org/officeDocument/2006/relationships/hyperlink" Target="http://www.secretariasenado.gov.co/senado/basedoc/ley_1421_2010.html" TargetMode="External"/><Relationship Id="rId10" Type="http://schemas.openxmlformats.org/officeDocument/2006/relationships/hyperlink" Target="mailto:mjimenezp@cajaviviendapopular.gov.c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ogle.com/search?q=direcci%C3%B3n+cja+de+vivienda+popular&amp;rlz=1C1CHBF_esCO867CO867&amp;oq=direcci%C3%B3n+cja+de+vivienda+popular&amp;aqs=chrome..69i57j0i22i30l4.13007j0j15&amp;sourceid=chrome&amp;ie=UTF-8" TargetMode="External"/><Relationship Id="rId14" Type="http://schemas.openxmlformats.org/officeDocument/2006/relationships/hyperlink" Target="http://www.secretariasenado.gov.co/senado/basedoc/ley_1421_2010.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EEF0F-58A7-4326-A600-8BB29CAF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9940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Murillo Herrera</dc:creator>
  <cp:keywords/>
  <dc:description/>
  <cp:lastModifiedBy>Liliana del Socorro Pérez Alarcon</cp:lastModifiedBy>
  <cp:revision>2</cp:revision>
  <dcterms:created xsi:type="dcterms:W3CDTF">2022-01-17T15:15:00Z</dcterms:created>
  <dcterms:modified xsi:type="dcterms:W3CDTF">2022-01-17T15:15:00Z</dcterms:modified>
</cp:coreProperties>
</file>