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9F414" w14:textId="77777777" w:rsidR="005F22CA" w:rsidRPr="00DA1485" w:rsidRDefault="005F22CA" w:rsidP="00DA1485">
      <w:pPr>
        <w:rPr>
          <w:rFonts w:ascii="Arial" w:hAnsi="Arial" w:cs="Arial"/>
          <w:sz w:val="24"/>
          <w:szCs w:val="24"/>
        </w:rPr>
      </w:pPr>
    </w:p>
    <w:p w14:paraId="62281E13" w14:textId="161129EC" w:rsidR="005F22CA" w:rsidRPr="00DA1485" w:rsidRDefault="00977680" w:rsidP="00DA1485">
      <w:pPr>
        <w:rPr>
          <w:rFonts w:ascii="Arial" w:hAnsi="Arial" w:cs="Arial"/>
          <w:sz w:val="24"/>
          <w:szCs w:val="24"/>
        </w:rPr>
      </w:pPr>
      <w:r w:rsidRPr="00DA1485">
        <w:rPr>
          <w:rFonts w:ascii="Arial" w:hAnsi="Arial" w:cs="Arial"/>
          <w:sz w:val="24"/>
          <w:szCs w:val="24"/>
        </w:rPr>
        <w:t xml:space="preserve">Bogotá, </w:t>
      </w:r>
    </w:p>
    <w:p w14:paraId="55F7224E" w14:textId="77777777" w:rsidR="005F22CA" w:rsidRPr="00DA1485" w:rsidRDefault="005F22CA" w:rsidP="00DA1485">
      <w:pPr>
        <w:rPr>
          <w:rFonts w:ascii="Arial" w:hAnsi="Arial" w:cs="Arial"/>
          <w:sz w:val="24"/>
          <w:szCs w:val="24"/>
        </w:rPr>
      </w:pPr>
    </w:p>
    <w:p w14:paraId="7B155A3D" w14:textId="381698F8" w:rsidR="00460EA1" w:rsidRPr="00DA1485" w:rsidRDefault="00460EA1" w:rsidP="00DA1485">
      <w:pPr>
        <w:rPr>
          <w:rFonts w:ascii="Arial" w:hAnsi="Arial" w:cs="Arial"/>
          <w:sz w:val="24"/>
          <w:szCs w:val="24"/>
        </w:rPr>
      </w:pPr>
      <w:r w:rsidRPr="00DA1485">
        <w:rPr>
          <w:rFonts w:ascii="Arial" w:hAnsi="Arial" w:cs="Arial"/>
          <w:sz w:val="24"/>
          <w:szCs w:val="24"/>
        </w:rPr>
        <w:t>Doctora</w:t>
      </w:r>
    </w:p>
    <w:p w14:paraId="72DB03B2" w14:textId="0F207A15" w:rsidR="00460EA1" w:rsidRPr="00DA1485" w:rsidRDefault="00597204" w:rsidP="00DA1485">
      <w:pPr>
        <w:rPr>
          <w:rFonts w:ascii="Arial" w:hAnsi="Arial" w:cs="Arial"/>
          <w:b/>
          <w:sz w:val="24"/>
          <w:szCs w:val="24"/>
        </w:rPr>
      </w:pPr>
      <w:r w:rsidRPr="00DA1485">
        <w:rPr>
          <w:rFonts w:ascii="Arial" w:hAnsi="Arial" w:cs="Arial"/>
          <w:b/>
          <w:sz w:val="24"/>
          <w:szCs w:val="24"/>
        </w:rPr>
        <w:t xml:space="preserve">LINA MARCELA MELO RODRIGUEZ </w:t>
      </w:r>
    </w:p>
    <w:p w14:paraId="46383C0A" w14:textId="305DBA8C" w:rsidR="00460EA1" w:rsidRPr="00DA1485" w:rsidRDefault="00460EA1" w:rsidP="00DA1485">
      <w:pPr>
        <w:rPr>
          <w:rFonts w:ascii="Arial" w:hAnsi="Arial" w:cs="Arial"/>
          <w:sz w:val="24"/>
          <w:szCs w:val="24"/>
        </w:rPr>
      </w:pPr>
      <w:r w:rsidRPr="00DA1485">
        <w:rPr>
          <w:rFonts w:ascii="Arial" w:hAnsi="Arial" w:cs="Arial"/>
          <w:sz w:val="24"/>
          <w:szCs w:val="24"/>
        </w:rPr>
        <w:t>Subdirectora del Talento Humano</w:t>
      </w:r>
    </w:p>
    <w:p w14:paraId="1205303C" w14:textId="16CA6953" w:rsidR="00C80B31" w:rsidRPr="00DA1485" w:rsidRDefault="000262C2" w:rsidP="00DA1485">
      <w:pPr>
        <w:rPr>
          <w:rFonts w:ascii="Arial" w:hAnsi="Arial" w:cs="Arial"/>
          <w:sz w:val="24"/>
          <w:szCs w:val="24"/>
        </w:rPr>
      </w:pPr>
      <w:r w:rsidRPr="00DA1485">
        <w:rPr>
          <w:rFonts w:ascii="Arial" w:hAnsi="Arial" w:cs="Arial"/>
          <w:sz w:val="24"/>
          <w:szCs w:val="24"/>
        </w:rPr>
        <w:t>lmmelo</w:t>
      </w:r>
      <w:r w:rsidR="00C80B31" w:rsidRPr="00DA1485">
        <w:rPr>
          <w:rFonts w:ascii="Arial" w:hAnsi="Arial" w:cs="Arial"/>
          <w:sz w:val="24"/>
          <w:szCs w:val="24"/>
        </w:rPr>
        <w:t>@shd.gov.co</w:t>
      </w:r>
    </w:p>
    <w:p w14:paraId="76641B21" w14:textId="77777777" w:rsidR="00460EA1" w:rsidRPr="00DA1485" w:rsidRDefault="00460EA1" w:rsidP="00DA1485">
      <w:pPr>
        <w:rPr>
          <w:rFonts w:ascii="Arial" w:hAnsi="Arial" w:cs="Arial"/>
          <w:sz w:val="24"/>
          <w:szCs w:val="24"/>
        </w:rPr>
      </w:pPr>
      <w:r w:rsidRPr="00DA1485">
        <w:rPr>
          <w:rFonts w:ascii="Arial" w:hAnsi="Arial" w:cs="Arial"/>
          <w:sz w:val="24"/>
          <w:szCs w:val="24"/>
        </w:rPr>
        <w:t>Secretaría Distrital de Hacienda</w:t>
      </w:r>
    </w:p>
    <w:p w14:paraId="7971B679" w14:textId="77777777" w:rsidR="00460EA1" w:rsidRPr="00DA1485" w:rsidRDefault="00460EA1" w:rsidP="00DA1485">
      <w:pPr>
        <w:rPr>
          <w:rFonts w:ascii="Arial" w:hAnsi="Arial" w:cs="Arial"/>
          <w:sz w:val="24"/>
          <w:szCs w:val="24"/>
        </w:rPr>
      </w:pPr>
      <w:r w:rsidRPr="00DA1485">
        <w:rPr>
          <w:rFonts w:ascii="Arial" w:hAnsi="Arial" w:cs="Arial"/>
          <w:sz w:val="24"/>
          <w:szCs w:val="24"/>
        </w:rPr>
        <w:t>NIT 899999061</w:t>
      </w:r>
    </w:p>
    <w:p w14:paraId="1A7238F8" w14:textId="77777777" w:rsidR="00460EA1" w:rsidRPr="00DA1485" w:rsidRDefault="00460EA1" w:rsidP="00DA1485">
      <w:pPr>
        <w:rPr>
          <w:rFonts w:ascii="Arial" w:hAnsi="Arial" w:cs="Arial"/>
          <w:sz w:val="24"/>
          <w:szCs w:val="24"/>
        </w:rPr>
      </w:pPr>
      <w:r w:rsidRPr="00DA1485">
        <w:rPr>
          <w:rFonts w:ascii="Arial" w:hAnsi="Arial" w:cs="Arial"/>
          <w:sz w:val="24"/>
          <w:szCs w:val="24"/>
        </w:rPr>
        <w:t xml:space="preserve">KR 30 25 90 </w:t>
      </w:r>
    </w:p>
    <w:p w14:paraId="2B00430F" w14:textId="77777777" w:rsidR="00460EA1" w:rsidRPr="00DA1485" w:rsidRDefault="00460EA1" w:rsidP="00DA1485">
      <w:pPr>
        <w:rPr>
          <w:rFonts w:ascii="Arial" w:hAnsi="Arial" w:cs="Arial"/>
          <w:sz w:val="24"/>
          <w:szCs w:val="24"/>
        </w:rPr>
      </w:pPr>
      <w:r w:rsidRPr="00DA1485">
        <w:rPr>
          <w:rFonts w:ascii="Arial" w:hAnsi="Arial" w:cs="Arial"/>
          <w:sz w:val="24"/>
          <w:szCs w:val="24"/>
        </w:rPr>
        <w:t>Ciudad</w:t>
      </w:r>
    </w:p>
    <w:p w14:paraId="44195C6F" w14:textId="77777777" w:rsidR="00460EA1" w:rsidRPr="00DA1485" w:rsidRDefault="00460EA1" w:rsidP="00DA1485">
      <w:pPr>
        <w:jc w:val="both"/>
        <w:rPr>
          <w:rFonts w:ascii="Arial" w:hAnsi="Arial" w:cs="Arial"/>
          <w:sz w:val="24"/>
          <w:szCs w:val="24"/>
        </w:rPr>
      </w:pPr>
    </w:p>
    <w:p w14:paraId="2806BBF4" w14:textId="47FFA0AB" w:rsidR="00460EA1" w:rsidRPr="00DA1485" w:rsidRDefault="00460EA1" w:rsidP="005F3C84">
      <w:pPr>
        <w:tabs>
          <w:tab w:val="center" w:pos="4394"/>
          <w:tab w:val="right" w:pos="8789"/>
        </w:tabs>
        <w:rPr>
          <w:rFonts w:ascii="Arial" w:hAnsi="Arial" w:cs="Arial"/>
          <w:b/>
          <w:sz w:val="24"/>
          <w:szCs w:val="24"/>
        </w:rPr>
      </w:pPr>
      <w:r w:rsidRPr="00DA1485">
        <w:rPr>
          <w:rFonts w:ascii="Arial" w:hAnsi="Arial" w:cs="Arial"/>
          <w:b/>
          <w:sz w:val="24"/>
          <w:szCs w:val="24"/>
        </w:rPr>
        <w:tab/>
        <w:t xml:space="preserve">CONCEPTO </w:t>
      </w:r>
      <w:r w:rsidRPr="00DA1485">
        <w:rPr>
          <w:rFonts w:ascii="Arial" w:hAnsi="Arial" w:cs="Arial"/>
          <w:b/>
          <w:sz w:val="24"/>
          <w:szCs w:val="24"/>
        </w:rPr>
        <w:tab/>
      </w:r>
    </w:p>
    <w:p w14:paraId="25653750" w14:textId="77777777" w:rsidR="00460EA1" w:rsidRPr="00DA1485" w:rsidRDefault="00460EA1" w:rsidP="00DA1485">
      <w:pPr>
        <w:jc w:val="center"/>
        <w:rPr>
          <w:rFonts w:ascii="Arial" w:hAnsi="Arial" w:cs="Arial"/>
          <w:b/>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634"/>
      </w:tblGrid>
      <w:tr w:rsidR="00DA1485" w:rsidRPr="00DA1485" w14:paraId="6382368A" w14:textId="77777777" w:rsidTr="00091714">
        <w:tc>
          <w:tcPr>
            <w:tcW w:w="2155" w:type="dxa"/>
            <w:shd w:val="clear" w:color="auto" w:fill="auto"/>
            <w:vAlign w:val="center"/>
          </w:tcPr>
          <w:p w14:paraId="3707D054" w14:textId="77777777" w:rsidR="00460EA1" w:rsidRPr="00DA1485" w:rsidRDefault="00460EA1" w:rsidP="00DA1485">
            <w:pPr>
              <w:rPr>
                <w:rFonts w:ascii="Arial" w:hAnsi="Arial" w:cs="Arial"/>
              </w:rPr>
            </w:pPr>
            <w:r w:rsidRPr="00DA1485">
              <w:rPr>
                <w:rFonts w:ascii="Arial" w:hAnsi="Arial" w:cs="Arial"/>
              </w:rPr>
              <w:t>Referencia</w:t>
            </w:r>
          </w:p>
        </w:tc>
        <w:tc>
          <w:tcPr>
            <w:tcW w:w="6634" w:type="dxa"/>
            <w:shd w:val="clear" w:color="auto" w:fill="auto"/>
            <w:vAlign w:val="center"/>
          </w:tcPr>
          <w:p w14:paraId="41CFFF4E" w14:textId="7A27C16D" w:rsidR="00460EA1" w:rsidRPr="00DA1485" w:rsidRDefault="00460EA1" w:rsidP="00DA1485">
            <w:pPr>
              <w:rPr>
                <w:rFonts w:ascii="Arial" w:hAnsi="Arial" w:cs="Arial"/>
              </w:rPr>
            </w:pPr>
            <w:r w:rsidRPr="00DA1485">
              <w:rPr>
                <w:rFonts w:ascii="Arial" w:hAnsi="Arial" w:cs="Arial"/>
              </w:rPr>
              <w:t>No 2021IE</w:t>
            </w:r>
            <w:r w:rsidR="00587D83" w:rsidRPr="00DA1485">
              <w:rPr>
                <w:rFonts w:ascii="Arial" w:hAnsi="Arial" w:cs="Arial"/>
              </w:rPr>
              <w:t>01862801</w:t>
            </w:r>
          </w:p>
        </w:tc>
      </w:tr>
      <w:tr w:rsidR="00DA1485" w:rsidRPr="00DA1485" w14:paraId="6F5D6ED3" w14:textId="77777777" w:rsidTr="00091714">
        <w:tc>
          <w:tcPr>
            <w:tcW w:w="2155" w:type="dxa"/>
            <w:shd w:val="clear" w:color="auto" w:fill="auto"/>
            <w:vAlign w:val="center"/>
          </w:tcPr>
          <w:p w14:paraId="157338DB" w14:textId="77777777" w:rsidR="00460EA1" w:rsidRPr="00DA1485" w:rsidRDefault="00460EA1" w:rsidP="00DA1485">
            <w:pPr>
              <w:rPr>
                <w:rFonts w:ascii="Arial" w:hAnsi="Arial" w:cs="Arial"/>
              </w:rPr>
            </w:pPr>
            <w:r w:rsidRPr="00DA1485">
              <w:rPr>
                <w:rFonts w:ascii="Arial" w:hAnsi="Arial" w:cs="Arial"/>
              </w:rPr>
              <w:t xml:space="preserve">Descriptor general </w:t>
            </w:r>
          </w:p>
        </w:tc>
        <w:tc>
          <w:tcPr>
            <w:tcW w:w="6634" w:type="dxa"/>
            <w:shd w:val="clear" w:color="auto" w:fill="auto"/>
            <w:vAlign w:val="center"/>
          </w:tcPr>
          <w:p w14:paraId="0058F28B" w14:textId="77777777" w:rsidR="00460EA1" w:rsidRPr="00DA1485" w:rsidRDefault="00460EA1" w:rsidP="00DA1485">
            <w:pPr>
              <w:jc w:val="both"/>
              <w:rPr>
                <w:rFonts w:ascii="Arial" w:hAnsi="Arial" w:cs="Arial"/>
                <w:highlight w:val="yellow"/>
              </w:rPr>
            </w:pPr>
            <w:r w:rsidRPr="00DA1485">
              <w:rPr>
                <w:rFonts w:ascii="Arial" w:hAnsi="Arial" w:cs="Arial"/>
              </w:rPr>
              <w:t xml:space="preserve">Laboral Administrativo </w:t>
            </w:r>
          </w:p>
        </w:tc>
      </w:tr>
      <w:tr w:rsidR="00DA1485" w:rsidRPr="00DA1485" w14:paraId="17E8BC32" w14:textId="77777777" w:rsidTr="00091714">
        <w:tc>
          <w:tcPr>
            <w:tcW w:w="2155" w:type="dxa"/>
            <w:shd w:val="clear" w:color="auto" w:fill="auto"/>
            <w:vAlign w:val="center"/>
          </w:tcPr>
          <w:p w14:paraId="6E71748F" w14:textId="77777777" w:rsidR="00460EA1" w:rsidRPr="00DA1485" w:rsidRDefault="00460EA1" w:rsidP="00DA1485">
            <w:pPr>
              <w:rPr>
                <w:rFonts w:ascii="Arial" w:hAnsi="Arial" w:cs="Arial"/>
              </w:rPr>
            </w:pPr>
            <w:r w:rsidRPr="00DA1485">
              <w:rPr>
                <w:rFonts w:ascii="Arial" w:hAnsi="Arial" w:cs="Arial"/>
              </w:rPr>
              <w:t>Descriptores especiales</w:t>
            </w:r>
          </w:p>
        </w:tc>
        <w:tc>
          <w:tcPr>
            <w:tcW w:w="6634" w:type="dxa"/>
            <w:shd w:val="clear" w:color="auto" w:fill="auto"/>
            <w:vAlign w:val="center"/>
          </w:tcPr>
          <w:p w14:paraId="11918D5C" w14:textId="22E64CC6" w:rsidR="00460EA1" w:rsidRPr="00DA1485" w:rsidRDefault="00300937" w:rsidP="00DA1485">
            <w:pPr>
              <w:jc w:val="both"/>
              <w:rPr>
                <w:rFonts w:ascii="Arial" w:hAnsi="Arial" w:cs="Arial"/>
                <w:highlight w:val="yellow"/>
              </w:rPr>
            </w:pPr>
            <w:r w:rsidRPr="00DA1485">
              <w:rPr>
                <w:rFonts w:ascii="Arial" w:hAnsi="Arial" w:cs="Arial"/>
              </w:rPr>
              <w:t xml:space="preserve">Protección especial de empleados públicos provisionales en condición de pre pensionados </w:t>
            </w:r>
            <w:r w:rsidR="00977680" w:rsidRPr="00DA1485">
              <w:rPr>
                <w:rFonts w:ascii="Arial" w:hAnsi="Arial" w:cs="Arial"/>
              </w:rPr>
              <w:t xml:space="preserve">  </w:t>
            </w:r>
          </w:p>
        </w:tc>
      </w:tr>
      <w:tr w:rsidR="00DA1485" w:rsidRPr="00DA1485" w14:paraId="2F433714" w14:textId="77777777" w:rsidTr="00091714">
        <w:tc>
          <w:tcPr>
            <w:tcW w:w="2155" w:type="dxa"/>
            <w:shd w:val="clear" w:color="auto" w:fill="auto"/>
            <w:vAlign w:val="center"/>
          </w:tcPr>
          <w:p w14:paraId="56887F5D" w14:textId="77777777" w:rsidR="00460EA1" w:rsidRPr="00DA1485" w:rsidRDefault="00460EA1" w:rsidP="00DA1485">
            <w:pPr>
              <w:tabs>
                <w:tab w:val="left" w:pos="717"/>
              </w:tabs>
              <w:rPr>
                <w:rFonts w:ascii="Arial" w:hAnsi="Arial" w:cs="Arial"/>
              </w:rPr>
            </w:pPr>
            <w:r w:rsidRPr="00DA1485">
              <w:rPr>
                <w:rFonts w:ascii="Arial" w:hAnsi="Arial" w:cs="Arial"/>
              </w:rPr>
              <w:t>Problema jurídico</w:t>
            </w:r>
          </w:p>
        </w:tc>
        <w:tc>
          <w:tcPr>
            <w:tcW w:w="6634" w:type="dxa"/>
            <w:shd w:val="clear" w:color="auto" w:fill="auto"/>
            <w:vAlign w:val="center"/>
          </w:tcPr>
          <w:p w14:paraId="33070478" w14:textId="61D5F833" w:rsidR="00460EA1" w:rsidRPr="00DA1485" w:rsidRDefault="00C80B31" w:rsidP="00DA1485">
            <w:pPr>
              <w:jc w:val="both"/>
              <w:rPr>
                <w:rFonts w:ascii="Arial" w:hAnsi="Arial" w:cs="Arial"/>
                <w:i/>
                <w:iCs/>
              </w:rPr>
            </w:pPr>
            <w:proofErr w:type="gramStart"/>
            <w:r w:rsidRPr="00DA1485">
              <w:rPr>
                <w:rFonts w:ascii="Arial" w:hAnsi="Arial" w:cs="Arial"/>
                <w:i/>
                <w:iCs/>
              </w:rPr>
              <w:t>¿</w:t>
            </w:r>
            <w:r w:rsidR="00460EA1" w:rsidRPr="00DA1485">
              <w:rPr>
                <w:rFonts w:ascii="Arial" w:hAnsi="Arial" w:cs="Arial"/>
                <w:i/>
                <w:iCs/>
              </w:rPr>
              <w:t xml:space="preserve"> </w:t>
            </w:r>
            <w:r w:rsidR="00B21C06" w:rsidRPr="00DA1485">
              <w:rPr>
                <w:rFonts w:ascii="Arial" w:hAnsi="Arial" w:cs="Arial"/>
                <w:i/>
                <w:iCs/>
              </w:rPr>
              <w:t>El</w:t>
            </w:r>
            <w:proofErr w:type="gramEnd"/>
            <w:r w:rsidR="00B21C06" w:rsidRPr="00DA1485">
              <w:rPr>
                <w:rFonts w:ascii="Arial" w:hAnsi="Arial" w:cs="Arial"/>
                <w:i/>
                <w:iCs/>
              </w:rPr>
              <w:t xml:space="preserve"> alcance de la calidad de </w:t>
            </w:r>
            <w:proofErr w:type="spellStart"/>
            <w:r w:rsidR="00B21C06" w:rsidRPr="00DA1485">
              <w:rPr>
                <w:rFonts w:ascii="Arial" w:hAnsi="Arial" w:cs="Arial"/>
                <w:i/>
                <w:iCs/>
              </w:rPr>
              <w:t>prepensionados</w:t>
            </w:r>
            <w:proofErr w:type="spellEnd"/>
            <w:r w:rsidR="00B21C06" w:rsidRPr="00DA1485">
              <w:rPr>
                <w:rFonts w:ascii="Arial" w:hAnsi="Arial" w:cs="Arial"/>
                <w:i/>
                <w:iCs/>
              </w:rPr>
              <w:t xml:space="preserve"> que define la Corte Constitucional en la SU 003 de 2018, también se aplica a los servidores públicos vinculados en provisionalidad?</w:t>
            </w:r>
          </w:p>
        </w:tc>
      </w:tr>
      <w:tr w:rsidR="00DA1485" w:rsidRPr="00DA1485" w14:paraId="44DE7E3E" w14:textId="77777777" w:rsidTr="00091714">
        <w:tc>
          <w:tcPr>
            <w:tcW w:w="2155" w:type="dxa"/>
            <w:shd w:val="clear" w:color="auto" w:fill="auto"/>
            <w:vAlign w:val="center"/>
          </w:tcPr>
          <w:p w14:paraId="40A4B8AE" w14:textId="77777777" w:rsidR="00460EA1" w:rsidRPr="00DA1485" w:rsidRDefault="00460EA1" w:rsidP="00DA1485">
            <w:pPr>
              <w:rPr>
                <w:rFonts w:ascii="Arial" w:hAnsi="Arial" w:cs="Arial"/>
              </w:rPr>
            </w:pPr>
            <w:r w:rsidRPr="00DA1485">
              <w:rPr>
                <w:rFonts w:ascii="Arial" w:hAnsi="Arial" w:cs="Arial"/>
              </w:rPr>
              <w:t>Fuentes formales</w:t>
            </w:r>
          </w:p>
        </w:tc>
        <w:tc>
          <w:tcPr>
            <w:tcW w:w="6634" w:type="dxa"/>
            <w:shd w:val="clear" w:color="auto" w:fill="auto"/>
            <w:vAlign w:val="center"/>
          </w:tcPr>
          <w:p w14:paraId="57286CB0" w14:textId="34C39671" w:rsidR="000D539C" w:rsidRPr="00DA1485" w:rsidRDefault="00B21C06" w:rsidP="00DA1485">
            <w:pPr>
              <w:jc w:val="both"/>
              <w:rPr>
                <w:rFonts w:ascii="Arial" w:hAnsi="Arial" w:cs="Arial"/>
              </w:rPr>
            </w:pPr>
            <w:r w:rsidRPr="00DA1485">
              <w:rPr>
                <w:rFonts w:ascii="Arial" w:hAnsi="Arial" w:cs="Arial"/>
              </w:rPr>
              <w:t>Sentencia SU 003 de 2018 de la Corte Constitucional</w:t>
            </w:r>
          </w:p>
        </w:tc>
      </w:tr>
    </w:tbl>
    <w:p w14:paraId="1500AEC5" w14:textId="77777777" w:rsidR="00460EA1" w:rsidRPr="00DA1485" w:rsidRDefault="00460EA1" w:rsidP="00DA1485">
      <w:pPr>
        <w:jc w:val="both"/>
        <w:rPr>
          <w:rFonts w:ascii="Arial" w:hAnsi="Arial" w:cs="Arial"/>
          <w:sz w:val="24"/>
          <w:szCs w:val="24"/>
        </w:rPr>
      </w:pPr>
    </w:p>
    <w:p w14:paraId="563D6766" w14:textId="77777777" w:rsidR="00460EA1" w:rsidRPr="00DA1485" w:rsidRDefault="00460EA1" w:rsidP="00DA1485">
      <w:pPr>
        <w:jc w:val="both"/>
        <w:rPr>
          <w:rFonts w:ascii="Arial" w:hAnsi="Arial" w:cs="Arial"/>
          <w:b/>
          <w:bCs/>
          <w:sz w:val="24"/>
          <w:szCs w:val="24"/>
        </w:rPr>
      </w:pPr>
      <w:r w:rsidRPr="00DA1485">
        <w:rPr>
          <w:rFonts w:ascii="Arial" w:hAnsi="Arial" w:cs="Arial"/>
          <w:b/>
          <w:bCs/>
          <w:sz w:val="24"/>
          <w:szCs w:val="24"/>
        </w:rPr>
        <w:t>IDENTIFICACIÓN DE LA CONSULTA</w:t>
      </w:r>
    </w:p>
    <w:p w14:paraId="0CB497DD" w14:textId="77777777" w:rsidR="00460EA1" w:rsidRPr="00DA1485" w:rsidRDefault="00460EA1" w:rsidP="00DA1485">
      <w:pPr>
        <w:jc w:val="both"/>
        <w:rPr>
          <w:rFonts w:ascii="Arial" w:hAnsi="Arial" w:cs="Arial"/>
          <w:b/>
          <w:bCs/>
          <w:sz w:val="24"/>
          <w:szCs w:val="24"/>
        </w:rPr>
      </w:pPr>
    </w:p>
    <w:p w14:paraId="0732AAAB" w14:textId="59F2911F" w:rsidR="00460EA1" w:rsidRPr="00DA1485" w:rsidRDefault="00460EA1" w:rsidP="00DA1485">
      <w:pPr>
        <w:jc w:val="both"/>
        <w:rPr>
          <w:rFonts w:ascii="Arial" w:hAnsi="Arial" w:cs="Arial"/>
          <w:bCs/>
          <w:sz w:val="24"/>
          <w:szCs w:val="24"/>
        </w:rPr>
      </w:pPr>
      <w:r w:rsidRPr="00DA1485">
        <w:rPr>
          <w:rFonts w:ascii="Arial" w:hAnsi="Arial" w:cs="Arial"/>
          <w:bCs/>
          <w:sz w:val="24"/>
          <w:szCs w:val="24"/>
        </w:rPr>
        <w:t>La Subdirec</w:t>
      </w:r>
      <w:r w:rsidR="000262C2" w:rsidRPr="00DA1485">
        <w:rPr>
          <w:rFonts w:ascii="Arial" w:hAnsi="Arial" w:cs="Arial"/>
          <w:bCs/>
          <w:sz w:val="24"/>
          <w:szCs w:val="24"/>
        </w:rPr>
        <w:t xml:space="preserve">ción </w:t>
      </w:r>
      <w:r w:rsidRPr="00DA1485">
        <w:rPr>
          <w:rFonts w:ascii="Arial" w:hAnsi="Arial" w:cs="Arial"/>
          <w:bCs/>
          <w:sz w:val="24"/>
          <w:szCs w:val="24"/>
        </w:rPr>
        <w:t>de Talento Humano de la Secretaría Distrital de Hacienda consulta a esta Dirección sobre</w:t>
      </w:r>
      <w:r w:rsidR="000D5EB7" w:rsidRPr="00DA1485">
        <w:rPr>
          <w:rFonts w:ascii="Arial" w:hAnsi="Arial" w:cs="Arial"/>
          <w:bCs/>
          <w:sz w:val="24"/>
          <w:szCs w:val="24"/>
        </w:rPr>
        <w:t xml:space="preserve"> </w:t>
      </w:r>
      <w:r w:rsidR="00B21C06" w:rsidRPr="00DA1485">
        <w:rPr>
          <w:rFonts w:ascii="Arial" w:hAnsi="Arial" w:cs="Arial"/>
          <w:bCs/>
          <w:sz w:val="24"/>
          <w:szCs w:val="24"/>
        </w:rPr>
        <w:t xml:space="preserve">si la definición jurisprudencial de </w:t>
      </w:r>
      <w:proofErr w:type="spellStart"/>
      <w:r w:rsidR="00B21C06" w:rsidRPr="00DA1485">
        <w:rPr>
          <w:rFonts w:ascii="Arial" w:hAnsi="Arial" w:cs="Arial"/>
          <w:bCs/>
          <w:sz w:val="24"/>
          <w:szCs w:val="24"/>
        </w:rPr>
        <w:t>prepensionado</w:t>
      </w:r>
      <w:proofErr w:type="spellEnd"/>
      <w:r w:rsidR="00B21C06" w:rsidRPr="00DA1485">
        <w:rPr>
          <w:rFonts w:ascii="Arial" w:hAnsi="Arial" w:cs="Arial"/>
          <w:bCs/>
          <w:sz w:val="24"/>
          <w:szCs w:val="24"/>
        </w:rPr>
        <w:t xml:space="preserve"> que realiza </w:t>
      </w:r>
      <w:r w:rsidR="00124535" w:rsidRPr="00DA1485">
        <w:rPr>
          <w:rFonts w:ascii="Arial" w:hAnsi="Arial" w:cs="Arial"/>
          <w:bCs/>
          <w:sz w:val="24"/>
          <w:szCs w:val="24"/>
        </w:rPr>
        <w:t xml:space="preserve">la Corte Constitucional </w:t>
      </w:r>
      <w:r w:rsidR="00B21C06" w:rsidRPr="00DA1485">
        <w:rPr>
          <w:rFonts w:ascii="Arial" w:hAnsi="Arial" w:cs="Arial"/>
          <w:bCs/>
          <w:sz w:val="24"/>
          <w:szCs w:val="24"/>
        </w:rPr>
        <w:t xml:space="preserve">en la </w:t>
      </w:r>
      <w:r w:rsidR="00890569" w:rsidRPr="00DA1485">
        <w:rPr>
          <w:rFonts w:ascii="Arial" w:hAnsi="Arial" w:cs="Arial"/>
          <w:bCs/>
          <w:sz w:val="24"/>
          <w:szCs w:val="24"/>
        </w:rPr>
        <w:t xml:space="preserve">Sentencia </w:t>
      </w:r>
      <w:r w:rsidR="00B21C06" w:rsidRPr="00DA1485">
        <w:rPr>
          <w:rFonts w:ascii="Arial" w:hAnsi="Arial" w:cs="Arial"/>
          <w:bCs/>
          <w:sz w:val="24"/>
          <w:szCs w:val="24"/>
        </w:rPr>
        <w:t>SU 003 del 8 de febrero de 2018</w:t>
      </w:r>
      <w:r w:rsidR="00DA1485" w:rsidRPr="00DA1485">
        <w:rPr>
          <w:rFonts w:ascii="Arial" w:hAnsi="Arial" w:cs="Arial"/>
          <w:bCs/>
          <w:sz w:val="24"/>
          <w:szCs w:val="24"/>
        </w:rPr>
        <w:t xml:space="preserve"> </w:t>
      </w:r>
      <w:r w:rsidR="00B21C06" w:rsidRPr="00DA1485">
        <w:rPr>
          <w:rFonts w:ascii="Arial" w:hAnsi="Arial" w:cs="Arial"/>
          <w:bCs/>
          <w:sz w:val="24"/>
          <w:szCs w:val="24"/>
        </w:rPr>
        <w:t xml:space="preserve">también se aplica a los empleados públicos que ocupan cargos de carrera administrativa como provisionales. </w:t>
      </w:r>
    </w:p>
    <w:p w14:paraId="3DCA0A22" w14:textId="77777777" w:rsidR="00460EA1" w:rsidRPr="00DA1485" w:rsidRDefault="00460EA1" w:rsidP="00DA1485">
      <w:pPr>
        <w:tabs>
          <w:tab w:val="left" w:pos="5040"/>
        </w:tabs>
        <w:jc w:val="both"/>
        <w:rPr>
          <w:rFonts w:ascii="Arial" w:hAnsi="Arial" w:cs="Arial"/>
          <w:bCs/>
          <w:sz w:val="24"/>
          <w:szCs w:val="24"/>
        </w:rPr>
      </w:pPr>
      <w:r w:rsidRPr="00DA1485">
        <w:rPr>
          <w:rFonts w:ascii="Arial" w:hAnsi="Arial" w:cs="Arial"/>
          <w:bCs/>
          <w:sz w:val="24"/>
          <w:szCs w:val="24"/>
        </w:rPr>
        <w:tab/>
        <w:t xml:space="preserve"> </w:t>
      </w:r>
    </w:p>
    <w:p w14:paraId="0AF3940B" w14:textId="4E6F2A1E" w:rsidR="00460EA1" w:rsidRPr="00DA1485" w:rsidRDefault="00460EA1" w:rsidP="00DA1485">
      <w:pPr>
        <w:jc w:val="both"/>
        <w:rPr>
          <w:rFonts w:ascii="Arial" w:hAnsi="Arial" w:cs="Arial"/>
          <w:bCs/>
          <w:i/>
          <w:sz w:val="24"/>
          <w:szCs w:val="24"/>
        </w:rPr>
      </w:pPr>
      <w:r w:rsidRPr="00DA1485">
        <w:rPr>
          <w:rFonts w:ascii="Arial" w:hAnsi="Arial" w:cs="Arial"/>
          <w:bCs/>
          <w:sz w:val="24"/>
          <w:szCs w:val="24"/>
        </w:rPr>
        <w:t>Al respecto</w:t>
      </w:r>
      <w:r w:rsidR="00BE612C">
        <w:rPr>
          <w:rFonts w:ascii="Arial" w:hAnsi="Arial" w:cs="Arial"/>
          <w:bCs/>
          <w:sz w:val="24"/>
          <w:szCs w:val="24"/>
        </w:rPr>
        <w:t>,</w:t>
      </w:r>
      <w:r w:rsidRPr="00DA1485">
        <w:rPr>
          <w:rFonts w:ascii="Arial" w:hAnsi="Arial" w:cs="Arial"/>
          <w:bCs/>
          <w:sz w:val="24"/>
          <w:szCs w:val="24"/>
        </w:rPr>
        <w:t xml:space="preserve"> manifiesta que</w:t>
      </w:r>
      <w:r w:rsidR="009F3EF5" w:rsidRPr="00DA1485">
        <w:rPr>
          <w:rFonts w:ascii="Arial" w:hAnsi="Arial" w:cs="Arial"/>
          <w:bCs/>
          <w:sz w:val="24"/>
          <w:szCs w:val="24"/>
        </w:rPr>
        <w:t xml:space="preserve"> se definió en dicha sentencia la condición de </w:t>
      </w:r>
      <w:proofErr w:type="spellStart"/>
      <w:r w:rsidR="009F3EF5" w:rsidRPr="00DA1485">
        <w:rPr>
          <w:rFonts w:ascii="Arial" w:hAnsi="Arial" w:cs="Arial"/>
          <w:bCs/>
          <w:sz w:val="24"/>
          <w:szCs w:val="24"/>
        </w:rPr>
        <w:t>prepensionados</w:t>
      </w:r>
      <w:proofErr w:type="spellEnd"/>
      <w:r w:rsidR="009F3EF5" w:rsidRPr="00DA1485">
        <w:rPr>
          <w:rFonts w:ascii="Arial" w:hAnsi="Arial" w:cs="Arial"/>
          <w:bCs/>
          <w:sz w:val="24"/>
          <w:szCs w:val="24"/>
        </w:rPr>
        <w:t xml:space="preserve"> en los siguientes términos</w:t>
      </w:r>
      <w:r w:rsidR="00B21C06" w:rsidRPr="00DA1485">
        <w:rPr>
          <w:rFonts w:ascii="Arial" w:hAnsi="Arial" w:cs="Arial"/>
          <w:bCs/>
          <w:sz w:val="24"/>
          <w:szCs w:val="24"/>
        </w:rPr>
        <w:t>:</w:t>
      </w:r>
      <w:r w:rsidR="003F7FC1" w:rsidRPr="00DA1485">
        <w:rPr>
          <w:rFonts w:ascii="Arial" w:hAnsi="Arial" w:cs="Arial"/>
          <w:bCs/>
          <w:sz w:val="24"/>
          <w:szCs w:val="24"/>
        </w:rPr>
        <w:t xml:space="preserve"> </w:t>
      </w:r>
      <w:r w:rsidR="00B21C06" w:rsidRPr="00DA1485">
        <w:rPr>
          <w:rFonts w:ascii="Arial" w:hAnsi="Arial" w:cs="Arial"/>
          <w:bCs/>
          <w:i/>
          <w:sz w:val="24"/>
          <w:szCs w:val="24"/>
        </w:rPr>
        <w:t>“</w:t>
      </w:r>
      <w:r w:rsidR="009F3EF5" w:rsidRPr="00DA1485">
        <w:rPr>
          <w:rFonts w:ascii="Arial" w:hAnsi="Arial" w:cs="Arial"/>
          <w:bCs/>
          <w:i/>
          <w:sz w:val="24"/>
          <w:szCs w:val="24"/>
        </w:rPr>
        <w:t>Acreditan la condición de “</w:t>
      </w:r>
      <w:proofErr w:type="spellStart"/>
      <w:r w:rsidR="009F3EF5" w:rsidRPr="00DA1485">
        <w:rPr>
          <w:rFonts w:ascii="Arial" w:hAnsi="Arial" w:cs="Arial"/>
          <w:bCs/>
          <w:i/>
          <w:sz w:val="24"/>
          <w:szCs w:val="24"/>
        </w:rPr>
        <w:t>prepensionables</w:t>
      </w:r>
      <w:proofErr w:type="spellEnd"/>
      <w:r w:rsidR="009F3EF5" w:rsidRPr="00DA1485">
        <w:rPr>
          <w:rFonts w:ascii="Arial" w:hAnsi="Arial" w:cs="Arial"/>
          <w:bCs/>
          <w:i/>
          <w:sz w:val="24"/>
          <w:szCs w:val="24"/>
        </w:rPr>
        <w:t>” las pers</w:t>
      </w:r>
      <w:r w:rsidR="000577F7" w:rsidRPr="00DA1485">
        <w:rPr>
          <w:rFonts w:ascii="Arial" w:hAnsi="Arial" w:cs="Arial"/>
          <w:bCs/>
          <w:i/>
          <w:sz w:val="24"/>
          <w:szCs w:val="24"/>
        </w:rPr>
        <w:t>o</w:t>
      </w:r>
      <w:r w:rsidR="009F3EF5" w:rsidRPr="00DA1485">
        <w:rPr>
          <w:rFonts w:ascii="Arial" w:hAnsi="Arial" w:cs="Arial"/>
          <w:bCs/>
          <w:i/>
          <w:sz w:val="24"/>
          <w:szCs w:val="24"/>
        </w:rPr>
        <w:t>nas vinculadas laboralmente al sector público</w:t>
      </w:r>
      <w:r w:rsidR="000577F7" w:rsidRPr="00DA1485">
        <w:rPr>
          <w:rFonts w:ascii="Arial" w:hAnsi="Arial" w:cs="Arial"/>
          <w:bCs/>
          <w:i/>
          <w:sz w:val="24"/>
          <w:szCs w:val="24"/>
        </w:rPr>
        <w:t xml:space="preserve"> o privado, que están próximas (</w:t>
      </w:r>
      <w:r w:rsidR="003F7FC1" w:rsidRPr="00DA1485">
        <w:rPr>
          <w:rFonts w:ascii="Arial" w:hAnsi="Arial" w:cs="Arial"/>
          <w:bCs/>
          <w:i/>
          <w:sz w:val="24"/>
          <w:szCs w:val="24"/>
        </w:rPr>
        <w:t>d</w:t>
      </w:r>
      <w:r w:rsidR="000577F7" w:rsidRPr="00DA1485">
        <w:rPr>
          <w:rFonts w:ascii="Arial" w:hAnsi="Arial" w:cs="Arial"/>
          <w:bCs/>
          <w:i/>
          <w:sz w:val="24"/>
          <w:szCs w:val="24"/>
        </w:rPr>
        <w:t>entro de los 3 años siguientes) a acreditar los dos requisitos necesarios para obtener la pensión de vejez ( la edad y el número de semanas- o tiempo de servicio requerido en el Régimen de Prima Media con Prestación Definida o el capital necesario en el Régimen de Ahorro Individual con Solidaridad) y consolidar así su derecho a pensión”</w:t>
      </w:r>
      <w:r w:rsidR="00BE612C">
        <w:rPr>
          <w:rFonts w:ascii="Arial" w:hAnsi="Arial" w:cs="Arial"/>
          <w:bCs/>
          <w:i/>
          <w:sz w:val="24"/>
          <w:szCs w:val="24"/>
        </w:rPr>
        <w:t>.</w:t>
      </w:r>
    </w:p>
    <w:p w14:paraId="244D5B41" w14:textId="77777777" w:rsidR="00ED5247" w:rsidRPr="00DA1485" w:rsidRDefault="00ED5247" w:rsidP="00DA1485">
      <w:pPr>
        <w:jc w:val="both"/>
        <w:rPr>
          <w:rFonts w:ascii="Arial" w:hAnsi="Arial" w:cs="Arial"/>
          <w:bCs/>
          <w:i/>
          <w:sz w:val="24"/>
          <w:szCs w:val="24"/>
        </w:rPr>
      </w:pPr>
    </w:p>
    <w:p w14:paraId="46B29A04" w14:textId="17E8D782" w:rsidR="00ED5247" w:rsidRPr="00DA1485" w:rsidRDefault="008D0E84" w:rsidP="00DA1485">
      <w:pPr>
        <w:jc w:val="both"/>
        <w:rPr>
          <w:rFonts w:ascii="Arial" w:hAnsi="Arial" w:cs="Arial"/>
          <w:bCs/>
          <w:sz w:val="24"/>
          <w:szCs w:val="24"/>
        </w:rPr>
      </w:pPr>
      <w:r w:rsidRPr="00DA1485">
        <w:rPr>
          <w:rFonts w:ascii="Arial" w:hAnsi="Arial" w:cs="Arial"/>
          <w:bCs/>
          <w:sz w:val="24"/>
          <w:szCs w:val="24"/>
        </w:rPr>
        <w:t xml:space="preserve">Menciona  </w:t>
      </w:r>
      <w:r w:rsidR="00ED5247" w:rsidRPr="00DA1485">
        <w:rPr>
          <w:rFonts w:ascii="Arial" w:hAnsi="Arial" w:cs="Arial"/>
          <w:bCs/>
          <w:sz w:val="24"/>
          <w:szCs w:val="24"/>
        </w:rPr>
        <w:t>que</w:t>
      </w:r>
      <w:r w:rsidRPr="00DA1485">
        <w:rPr>
          <w:rFonts w:ascii="Arial" w:hAnsi="Arial" w:cs="Arial"/>
          <w:bCs/>
          <w:sz w:val="24"/>
          <w:szCs w:val="24"/>
        </w:rPr>
        <w:t xml:space="preserve">, </w:t>
      </w:r>
      <w:r w:rsidR="00ED5247" w:rsidRPr="00DA1485">
        <w:rPr>
          <w:rFonts w:ascii="Arial" w:hAnsi="Arial" w:cs="Arial"/>
          <w:bCs/>
          <w:sz w:val="24"/>
          <w:szCs w:val="24"/>
        </w:rPr>
        <w:t xml:space="preserve"> teniendo en cuenta que la sentencia se profirió en el contexto de la desvinculación de un servidor público de libre nombramiento y remoción, surge la inquietud sobre la procedencia de extender </w:t>
      </w:r>
      <w:r w:rsidR="00B565A2" w:rsidRPr="00DA1485">
        <w:rPr>
          <w:rFonts w:ascii="Arial" w:hAnsi="Arial" w:cs="Arial"/>
          <w:bCs/>
          <w:sz w:val="24"/>
          <w:szCs w:val="24"/>
        </w:rPr>
        <w:t xml:space="preserve">a los servidores públicos vinculados en provisionalidad, </w:t>
      </w:r>
      <w:r w:rsidR="00ED5247" w:rsidRPr="00DA1485">
        <w:rPr>
          <w:rFonts w:ascii="Arial" w:hAnsi="Arial" w:cs="Arial"/>
          <w:bCs/>
          <w:sz w:val="24"/>
          <w:szCs w:val="24"/>
        </w:rPr>
        <w:t xml:space="preserve">la regla de interpretación de que no hay lugar al fuero </w:t>
      </w:r>
      <w:r w:rsidR="00834EA5" w:rsidRPr="00DA1485">
        <w:rPr>
          <w:rFonts w:ascii="Arial" w:hAnsi="Arial" w:cs="Arial"/>
          <w:bCs/>
          <w:sz w:val="24"/>
          <w:szCs w:val="24"/>
        </w:rPr>
        <w:t xml:space="preserve">de </w:t>
      </w:r>
      <w:r w:rsidR="00ED5247" w:rsidRPr="00DA1485">
        <w:rPr>
          <w:rFonts w:ascii="Arial" w:hAnsi="Arial" w:cs="Arial"/>
          <w:bCs/>
          <w:sz w:val="24"/>
          <w:szCs w:val="24"/>
        </w:rPr>
        <w:t xml:space="preserve">estabilidad </w:t>
      </w:r>
      <w:r w:rsidR="00ED5247" w:rsidRPr="00DA1485">
        <w:rPr>
          <w:rFonts w:ascii="Arial" w:hAnsi="Arial" w:cs="Arial"/>
          <w:bCs/>
          <w:sz w:val="24"/>
          <w:szCs w:val="24"/>
        </w:rPr>
        <w:lastRenderedPageBreak/>
        <w:t xml:space="preserve">laboral reforzada de </w:t>
      </w:r>
      <w:proofErr w:type="spellStart"/>
      <w:r w:rsidR="00ED5247" w:rsidRPr="00DA1485">
        <w:rPr>
          <w:rFonts w:ascii="Arial" w:hAnsi="Arial" w:cs="Arial"/>
          <w:bCs/>
          <w:sz w:val="24"/>
          <w:szCs w:val="24"/>
        </w:rPr>
        <w:t>prepensionable</w:t>
      </w:r>
      <w:proofErr w:type="spellEnd"/>
      <w:r w:rsidR="00834EA5" w:rsidRPr="00DA1485">
        <w:rPr>
          <w:rFonts w:ascii="Arial" w:hAnsi="Arial" w:cs="Arial"/>
          <w:bCs/>
          <w:sz w:val="24"/>
          <w:szCs w:val="24"/>
        </w:rPr>
        <w:t>,</w:t>
      </w:r>
      <w:r w:rsidR="00ED5247" w:rsidRPr="00DA1485">
        <w:rPr>
          <w:rFonts w:ascii="Arial" w:hAnsi="Arial" w:cs="Arial"/>
          <w:bCs/>
          <w:sz w:val="24"/>
          <w:szCs w:val="24"/>
        </w:rPr>
        <w:t xml:space="preserve"> cuando se han completado las semanas de cotización </w:t>
      </w:r>
      <w:r w:rsidR="00B565A2" w:rsidRPr="00DA1485">
        <w:rPr>
          <w:rFonts w:ascii="Arial" w:hAnsi="Arial" w:cs="Arial"/>
          <w:bCs/>
          <w:sz w:val="24"/>
          <w:szCs w:val="24"/>
        </w:rPr>
        <w:t>y el único requisito faltante es el de la edad para consolidar la pensión</w:t>
      </w:r>
      <w:r w:rsidR="006176FD" w:rsidRPr="00DA1485">
        <w:rPr>
          <w:rFonts w:ascii="Arial" w:hAnsi="Arial" w:cs="Arial"/>
          <w:bCs/>
          <w:sz w:val="24"/>
          <w:szCs w:val="24"/>
        </w:rPr>
        <w:t>.</w:t>
      </w:r>
    </w:p>
    <w:p w14:paraId="3D832DBB" w14:textId="77777777" w:rsidR="00460EA1" w:rsidRPr="00DA1485" w:rsidRDefault="00460EA1" w:rsidP="00DA1485">
      <w:pPr>
        <w:jc w:val="both"/>
        <w:rPr>
          <w:rFonts w:ascii="Arial" w:hAnsi="Arial" w:cs="Arial"/>
          <w:bCs/>
          <w:sz w:val="24"/>
          <w:szCs w:val="24"/>
        </w:rPr>
      </w:pPr>
      <w:r w:rsidRPr="00DA1485">
        <w:rPr>
          <w:rFonts w:ascii="Arial" w:hAnsi="Arial" w:cs="Arial"/>
          <w:bCs/>
          <w:sz w:val="24"/>
          <w:szCs w:val="24"/>
        </w:rPr>
        <w:t xml:space="preserve"> </w:t>
      </w:r>
    </w:p>
    <w:p w14:paraId="6C7E4090" w14:textId="34EF63C4" w:rsidR="00460EA1" w:rsidRPr="00DA1485" w:rsidRDefault="00460EA1" w:rsidP="00DA1485">
      <w:pPr>
        <w:jc w:val="both"/>
        <w:rPr>
          <w:rFonts w:ascii="Arial" w:hAnsi="Arial" w:cs="Arial"/>
          <w:bCs/>
          <w:sz w:val="24"/>
          <w:szCs w:val="24"/>
        </w:rPr>
      </w:pPr>
      <w:r w:rsidRPr="00DA1485">
        <w:rPr>
          <w:rFonts w:ascii="Arial" w:hAnsi="Arial" w:cs="Arial"/>
          <w:bCs/>
          <w:sz w:val="24"/>
          <w:szCs w:val="24"/>
        </w:rPr>
        <w:t xml:space="preserve">En este contexto, formula en términos generales el siguiente interrogante: </w:t>
      </w:r>
    </w:p>
    <w:p w14:paraId="427FC827" w14:textId="77777777" w:rsidR="00460EA1" w:rsidRPr="00DA1485" w:rsidRDefault="00460EA1" w:rsidP="00DA1485">
      <w:pPr>
        <w:jc w:val="both"/>
        <w:rPr>
          <w:rFonts w:ascii="Arial" w:hAnsi="Arial" w:cs="Arial"/>
          <w:bCs/>
          <w:sz w:val="24"/>
          <w:szCs w:val="24"/>
        </w:rPr>
      </w:pPr>
    </w:p>
    <w:p w14:paraId="3B2E52F7" w14:textId="72E949AA" w:rsidR="00460EA1" w:rsidRPr="00DA1485" w:rsidRDefault="00492F0A" w:rsidP="00DA1485">
      <w:pPr>
        <w:jc w:val="both"/>
        <w:rPr>
          <w:rFonts w:ascii="Arial" w:hAnsi="Arial" w:cs="Arial"/>
          <w:bCs/>
          <w:sz w:val="24"/>
          <w:szCs w:val="24"/>
        </w:rPr>
      </w:pPr>
      <w:r w:rsidRPr="00DA1485">
        <w:rPr>
          <w:rFonts w:ascii="Arial" w:hAnsi="Arial" w:cs="Arial"/>
          <w:bCs/>
          <w:i/>
          <w:sz w:val="24"/>
          <w:szCs w:val="24"/>
        </w:rPr>
        <w:t>¿</w:t>
      </w:r>
      <w:r w:rsidR="006176FD" w:rsidRPr="00DA1485">
        <w:rPr>
          <w:rFonts w:ascii="Arial" w:hAnsi="Arial" w:cs="Arial"/>
          <w:bCs/>
          <w:sz w:val="24"/>
          <w:szCs w:val="24"/>
        </w:rPr>
        <w:t>El alcance del concepto jurisprudencial contenido en la Sentencia SU-003 de 2018, que señala</w:t>
      </w:r>
      <w:r w:rsidR="006176FD" w:rsidRPr="00DA1485">
        <w:rPr>
          <w:rFonts w:ascii="Arial" w:hAnsi="Arial" w:cs="Arial"/>
          <w:bCs/>
          <w:i/>
          <w:sz w:val="24"/>
          <w:szCs w:val="24"/>
        </w:rPr>
        <w:t xml:space="preserve"> “(…)</w:t>
      </w:r>
      <w:r w:rsidR="00BE612C">
        <w:rPr>
          <w:rFonts w:ascii="Arial" w:hAnsi="Arial" w:cs="Arial"/>
          <w:bCs/>
          <w:i/>
          <w:sz w:val="24"/>
          <w:szCs w:val="24"/>
        </w:rPr>
        <w:t xml:space="preserve"> </w:t>
      </w:r>
      <w:r w:rsidR="006176FD" w:rsidRPr="00DA1485">
        <w:rPr>
          <w:rFonts w:ascii="Arial" w:hAnsi="Arial" w:cs="Arial"/>
          <w:i/>
          <w:sz w:val="24"/>
          <w:szCs w:val="24"/>
          <w:lang w:eastAsia="es-CO"/>
        </w:rPr>
        <w:t xml:space="preserve">cuando el único requisito faltante para acceder a la pensión de vejez es el de edad, dado que se acredita el cumplimiento del número mínimo de semanas de cotización, en caso de desvinculación, no se frustra el acceso a la pensión de vejez, de allí que no haya lugar a considerar que la persona sea beneficiaria del fuero de estabilidad laboral reforzada de </w:t>
      </w:r>
      <w:proofErr w:type="spellStart"/>
      <w:r w:rsidR="006176FD" w:rsidRPr="00DA1485">
        <w:rPr>
          <w:rFonts w:ascii="Arial" w:hAnsi="Arial" w:cs="Arial"/>
          <w:i/>
          <w:sz w:val="24"/>
          <w:szCs w:val="24"/>
          <w:lang w:eastAsia="es-CO"/>
        </w:rPr>
        <w:t>prepensionable</w:t>
      </w:r>
      <w:proofErr w:type="spellEnd"/>
      <w:r w:rsidR="006176FD" w:rsidRPr="00DA1485">
        <w:rPr>
          <w:rFonts w:ascii="Arial" w:hAnsi="Arial" w:cs="Arial"/>
          <w:i/>
          <w:sz w:val="24"/>
          <w:szCs w:val="24"/>
          <w:lang w:eastAsia="es-CO"/>
        </w:rPr>
        <w:t xml:space="preserve"> (…)</w:t>
      </w:r>
      <w:r w:rsidR="00211C5A" w:rsidRPr="00DA1485">
        <w:rPr>
          <w:rFonts w:ascii="Arial" w:hAnsi="Arial" w:cs="Arial"/>
          <w:i/>
          <w:sz w:val="24"/>
          <w:szCs w:val="24"/>
          <w:lang w:eastAsia="es-CO"/>
        </w:rPr>
        <w:t xml:space="preserve">”, </w:t>
      </w:r>
      <w:r w:rsidR="00211C5A" w:rsidRPr="00DA1485">
        <w:rPr>
          <w:rFonts w:ascii="Arial" w:hAnsi="Arial" w:cs="Arial"/>
          <w:sz w:val="24"/>
          <w:szCs w:val="24"/>
          <w:lang w:eastAsia="es-CO"/>
        </w:rPr>
        <w:t>¿es aplicable a los servidores vinculados en provisionalidad</w:t>
      </w:r>
      <w:r w:rsidR="004171A9" w:rsidRPr="00DA1485">
        <w:rPr>
          <w:rFonts w:ascii="Arial" w:hAnsi="Arial" w:cs="Arial"/>
          <w:bCs/>
          <w:sz w:val="24"/>
          <w:szCs w:val="24"/>
        </w:rPr>
        <w:t>?</w:t>
      </w:r>
    </w:p>
    <w:p w14:paraId="394FD0B9" w14:textId="4E3926F6" w:rsidR="00460EA1" w:rsidRDefault="00460EA1" w:rsidP="00DA1485">
      <w:pPr>
        <w:ind w:left="426" w:right="333"/>
        <w:rPr>
          <w:rFonts w:ascii="Arial" w:hAnsi="Arial" w:cs="Arial"/>
          <w:sz w:val="24"/>
          <w:szCs w:val="24"/>
        </w:rPr>
      </w:pPr>
    </w:p>
    <w:p w14:paraId="01988031" w14:textId="77777777" w:rsidR="00DA1485" w:rsidRPr="00DA1485" w:rsidRDefault="00DA1485" w:rsidP="00DA1485">
      <w:pPr>
        <w:ind w:left="426" w:right="333"/>
        <w:rPr>
          <w:rFonts w:ascii="Arial" w:hAnsi="Arial" w:cs="Arial"/>
          <w:sz w:val="24"/>
          <w:szCs w:val="24"/>
        </w:rPr>
      </w:pPr>
    </w:p>
    <w:p w14:paraId="46071AA7" w14:textId="77777777" w:rsidR="00460EA1" w:rsidRPr="00DA1485" w:rsidRDefault="00460EA1" w:rsidP="00DA1485">
      <w:pPr>
        <w:rPr>
          <w:rFonts w:ascii="Arial" w:hAnsi="Arial" w:cs="Arial"/>
          <w:b/>
          <w:bCs/>
          <w:sz w:val="24"/>
          <w:szCs w:val="24"/>
        </w:rPr>
      </w:pPr>
      <w:r w:rsidRPr="00DA1485">
        <w:rPr>
          <w:rFonts w:ascii="Arial" w:hAnsi="Arial" w:cs="Arial"/>
          <w:sz w:val="24"/>
          <w:szCs w:val="24"/>
        </w:rPr>
        <w:t xml:space="preserve"> </w:t>
      </w:r>
      <w:r w:rsidRPr="00DA1485">
        <w:rPr>
          <w:rFonts w:ascii="Arial" w:hAnsi="Arial" w:cs="Arial"/>
          <w:b/>
          <w:bCs/>
          <w:sz w:val="24"/>
          <w:szCs w:val="24"/>
        </w:rPr>
        <w:t xml:space="preserve">CONSIDERACIONES </w:t>
      </w:r>
    </w:p>
    <w:p w14:paraId="3E8EFAAE" w14:textId="77777777" w:rsidR="00A11179" w:rsidRPr="00DA1485" w:rsidRDefault="00A11179" w:rsidP="00DA1485">
      <w:pPr>
        <w:pStyle w:val="xmsonormal"/>
        <w:shd w:val="clear" w:color="auto" w:fill="FFFFFF"/>
        <w:spacing w:before="0" w:beforeAutospacing="0" w:after="0" w:afterAutospacing="0"/>
        <w:jc w:val="both"/>
        <w:rPr>
          <w:rFonts w:ascii="Arial" w:hAnsi="Arial" w:cs="Arial"/>
          <w:bdr w:val="none" w:sz="0" w:space="0" w:color="auto" w:frame="1"/>
        </w:rPr>
      </w:pPr>
    </w:p>
    <w:p w14:paraId="0E33ADF8" w14:textId="763DEC63" w:rsidR="00A11179" w:rsidRPr="00DA1485" w:rsidRDefault="00A11179" w:rsidP="00DA1485">
      <w:pPr>
        <w:pStyle w:val="xmsonormal"/>
        <w:shd w:val="clear" w:color="auto" w:fill="FFFFFF"/>
        <w:spacing w:before="0" w:beforeAutospacing="0" w:after="0" w:afterAutospacing="0"/>
        <w:jc w:val="both"/>
        <w:rPr>
          <w:rFonts w:ascii="Arial" w:hAnsi="Arial" w:cs="Arial"/>
          <w:bdr w:val="none" w:sz="0" w:space="0" w:color="auto" w:frame="1"/>
        </w:rPr>
      </w:pPr>
      <w:r w:rsidRPr="00DA1485">
        <w:rPr>
          <w:rFonts w:ascii="Arial" w:hAnsi="Arial" w:cs="Arial"/>
          <w:bdr w:val="none" w:sz="0" w:space="0" w:color="auto" w:frame="1"/>
        </w:rPr>
        <w:t xml:space="preserve">Antes de abordar el problema jurídico planteado es importante establecer la naturaleza de las Sentencias de Unificación proferidas por la Corte Constitucional, las cuales fijan un precedente vinculante para resolver problemas jurídicos </w:t>
      </w:r>
      <w:r w:rsidR="00945A99" w:rsidRPr="00DA1485">
        <w:rPr>
          <w:rFonts w:ascii="Arial" w:hAnsi="Arial" w:cs="Arial"/>
          <w:bdr w:val="none" w:sz="0" w:space="0" w:color="auto" w:frame="1"/>
        </w:rPr>
        <w:t>en casos semejantes</w:t>
      </w:r>
      <w:r w:rsidR="002B043E" w:rsidRPr="00DA1485">
        <w:rPr>
          <w:rFonts w:ascii="Arial" w:hAnsi="Arial" w:cs="Arial"/>
          <w:bdr w:val="none" w:sz="0" w:space="0" w:color="auto" w:frame="1"/>
        </w:rPr>
        <w:t xml:space="preserve">, con la finalidad de </w:t>
      </w:r>
      <w:r w:rsidR="00945A99" w:rsidRPr="00DA1485">
        <w:rPr>
          <w:rFonts w:ascii="Arial" w:hAnsi="Arial" w:cs="Arial"/>
          <w:bdr w:val="none" w:sz="0" w:space="0" w:color="auto" w:frame="1"/>
        </w:rPr>
        <w:t xml:space="preserve">mantener coherencia jurídica para la solución de </w:t>
      </w:r>
      <w:proofErr w:type="gramStart"/>
      <w:r w:rsidR="00945A99" w:rsidRPr="00DA1485">
        <w:rPr>
          <w:rFonts w:ascii="Arial" w:hAnsi="Arial" w:cs="Arial"/>
          <w:bdr w:val="none" w:sz="0" w:space="0" w:color="auto" w:frame="1"/>
        </w:rPr>
        <w:t>los mismos</w:t>
      </w:r>
      <w:proofErr w:type="gramEnd"/>
      <w:r w:rsidR="00FE3B1C" w:rsidRPr="00DA1485">
        <w:rPr>
          <w:rFonts w:ascii="Arial" w:hAnsi="Arial" w:cs="Arial"/>
          <w:bdr w:val="none" w:sz="0" w:space="0" w:color="auto" w:frame="1"/>
        </w:rPr>
        <w:t xml:space="preserve">.   Así lo determinó precisamente </w:t>
      </w:r>
      <w:r w:rsidR="00945A99" w:rsidRPr="00DA1485">
        <w:rPr>
          <w:rFonts w:ascii="Arial" w:hAnsi="Arial" w:cs="Arial"/>
          <w:bdr w:val="none" w:sz="0" w:space="0" w:color="auto" w:frame="1"/>
        </w:rPr>
        <w:t xml:space="preserve">la Sala Plena de la Corte Constitucional en </w:t>
      </w:r>
      <w:proofErr w:type="gramStart"/>
      <w:r w:rsidR="00945A99" w:rsidRPr="00DA1485">
        <w:rPr>
          <w:rFonts w:ascii="Arial" w:hAnsi="Arial" w:cs="Arial"/>
          <w:bdr w:val="none" w:sz="0" w:space="0" w:color="auto" w:frame="1"/>
        </w:rPr>
        <w:t xml:space="preserve">sentencia </w:t>
      </w:r>
      <w:r w:rsidRPr="00DA1485">
        <w:rPr>
          <w:rFonts w:ascii="Arial" w:hAnsi="Arial" w:cs="Arial"/>
          <w:bdr w:val="none" w:sz="0" w:space="0" w:color="auto" w:frame="1"/>
        </w:rPr>
        <w:t xml:space="preserve"> </w:t>
      </w:r>
      <w:r w:rsidR="00945A99" w:rsidRPr="00DA1485">
        <w:rPr>
          <w:rFonts w:ascii="Arial" w:hAnsi="Arial" w:cs="Arial"/>
          <w:bdr w:val="none" w:sz="0" w:space="0" w:color="auto" w:frame="1"/>
        </w:rPr>
        <w:t>SU</w:t>
      </w:r>
      <w:proofErr w:type="gramEnd"/>
      <w:r w:rsidR="00FE3B1C" w:rsidRPr="00DA1485">
        <w:rPr>
          <w:rFonts w:ascii="Arial" w:hAnsi="Arial" w:cs="Arial"/>
          <w:bdr w:val="none" w:sz="0" w:space="0" w:color="auto" w:frame="1"/>
        </w:rPr>
        <w:t xml:space="preserve">  </w:t>
      </w:r>
      <w:r w:rsidR="00945A99" w:rsidRPr="00DA1485">
        <w:rPr>
          <w:rFonts w:ascii="Arial" w:hAnsi="Arial" w:cs="Arial"/>
          <w:bdr w:val="none" w:sz="0" w:space="0" w:color="auto" w:frame="1"/>
        </w:rPr>
        <w:t>072 de 2018</w:t>
      </w:r>
      <w:r w:rsidR="00FE3B1C" w:rsidRPr="00DA1485">
        <w:rPr>
          <w:rFonts w:ascii="Arial" w:hAnsi="Arial" w:cs="Arial"/>
          <w:bdr w:val="none" w:sz="0" w:space="0" w:color="auto" w:frame="1"/>
        </w:rPr>
        <w:t xml:space="preserve">. </w:t>
      </w:r>
      <w:r w:rsidR="00945A99" w:rsidRPr="00DA1485">
        <w:rPr>
          <w:rStyle w:val="Refdenotaalpie"/>
          <w:rFonts w:ascii="Arial" w:hAnsi="Arial" w:cs="Arial"/>
          <w:bdr w:val="none" w:sz="0" w:space="0" w:color="auto" w:frame="1"/>
        </w:rPr>
        <w:footnoteReference w:id="1"/>
      </w:r>
      <w:r w:rsidR="00945A99" w:rsidRPr="00DA1485">
        <w:rPr>
          <w:rFonts w:ascii="Arial" w:hAnsi="Arial" w:cs="Arial"/>
          <w:bdr w:val="none" w:sz="0" w:space="0" w:color="auto" w:frame="1"/>
        </w:rPr>
        <w:t xml:space="preserve"> </w:t>
      </w:r>
    </w:p>
    <w:p w14:paraId="5DBB0E55" w14:textId="77777777" w:rsidR="00FE3B1C" w:rsidRPr="00DA1485" w:rsidRDefault="00FE3B1C" w:rsidP="00DA1485">
      <w:pPr>
        <w:pStyle w:val="xmsonormal"/>
        <w:shd w:val="clear" w:color="auto" w:fill="FFFFFF"/>
        <w:spacing w:before="0" w:beforeAutospacing="0" w:after="0" w:afterAutospacing="0"/>
        <w:jc w:val="both"/>
        <w:rPr>
          <w:rFonts w:ascii="Arial" w:hAnsi="Arial" w:cs="Arial"/>
          <w:bdr w:val="none" w:sz="0" w:space="0" w:color="auto" w:frame="1"/>
        </w:rPr>
      </w:pPr>
    </w:p>
    <w:p w14:paraId="12FC279B" w14:textId="6F65F51B" w:rsidR="002D7325" w:rsidRPr="00DA1485" w:rsidRDefault="002D7325" w:rsidP="00DA1485">
      <w:pPr>
        <w:shd w:val="clear" w:color="auto" w:fill="FFFFFF"/>
        <w:ind w:left="284" w:right="283"/>
        <w:jc w:val="both"/>
        <w:textAlignment w:val="baseline"/>
        <w:rPr>
          <w:rFonts w:ascii="Arial" w:hAnsi="Arial" w:cs="Arial"/>
          <w:i/>
          <w:iCs/>
          <w:sz w:val="22"/>
          <w:szCs w:val="22"/>
          <w:lang w:eastAsia="es-CO"/>
        </w:rPr>
      </w:pPr>
      <w:r w:rsidRPr="00DA1485">
        <w:rPr>
          <w:rFonts w:ascii="Arial" w:hAnsi="Arial" w:cs="Arial"/>
          <w:i/>
          <w:iCs/>
          <w:sz w:val="22"/>
          <w:szCs w:val="22"/>
          <w:bdr w:val="none" w:sz="0" w:space="0" w:color="auto" w:frame="1"/>
          <w:lang w:eastAsia="es-CO"/>
        </w:rPr>
        <w:t>“FUERZA VINCULANTE DE LA JURISPRUDENCIA DE ORGANOS JUDICIALES DE CIERRE-</w:t>
      </w:r>
      <w:r w:rsidRPr="00DA1485">
        <w:rPr>
          <w:rFonts w:ascii="Arial" w:hAnsi="Arial" w:cs="Arial"/>
          <w:i/>
          <w:iCs/>
          <w:sz w:val="22"/>
          <w:szCs w:val="22"/>
          <w:bdr w:val="none" w:sz="0" w:space="0" w:color="auto" w:frame="1"/>
          <w:shd w:val="clear" w:color="auto" w:fill="FFFFFF"/>
          <w:lang w:eastAsia="es-CO"/>
        </w:rPr>
        <w:t>Jurisprudencia constitucional</w:t>
      </w:r>
    </w:p>
    <w:p w14:paraId="6E88230C" w14:textId="77777777" w:rsidR="002D7325" w:rsidRPr="00DA1485" w:rsidRDefault="002D7325" w:rsidP="00DA1485">
      <w:pPr>
        <w:shd w:val="clear" w:color="auto" w:fill="FFFFFF"/>
        <w:ind w:left="284" w:right="283"/>
        <w:jc w:val="both"/>
        <w:textAlignment w:val="baseline"/>
        <w:rPr>
          <w:rFonts w:ascii="Arial" w:hAnsi="Arial" w:cs="Arial"/>
          <w:i/>
          <w:iCs/>
          <w:sz w:val="22"/>
          <w:szCs w:val="22"/>
          <w:lang w:eastAsia="es-CO"/>
        </w:rPr>
      </w:pPr>
      <w:r w:rsidRPr="00DA1485">
        <w:rPr>
          <w:rFonts w:ascii="Arial" w:hAnsi="Arial" w:cs="Arial"/>
          <w:i/>
          <w:iCs/>
          <w:sz w:val="22"/>
          <w:szCs w:val="22"/>
          <w:lang w:eastAsia="es-CO"/>
        </w:rPr>
        <w:t> </w:t>
      </w:r>
    </w:p>
    <w:p w14:paraId="77B576F8" w14:textId="7AADC181" w:rsidR="002D7325" w:rsidRPr="00DA1485" w:rsidRDefault="002D7325" w:rsidP="00DA1485">
      <w:pPr>
        <w:shd w:val="clear" w:color="auto" w:fill="FFFFFF"/>
        <w:ind w:left="284" w:right="283"/>
        <w:jc w:val="both"/>
        <w:textAlignment w:val="baseline"/>
        <w:rPr>
          <w:rFonts w:ascii="Arial" w:hAnsi="Arial" w:cs="Arial"/>
          <w:i/>
          <w:iCs/>
          <w:sz w:val="22"/>
          <w:szCs w:val="22"/>
          <w:lang w:eastAsia="es-CO"/>
        </w:rPr>
      </w:pPr>
      <w:r w:rsidRPr="00DA1485">
        <w:rPr>
          <w:rFonts w:ascii="Arial" w:hAnsi="Arial" w:cs="Arial"/>
          <w:i/>
          <w:iCs/>
          <w:sz w:val="22"/>
          <w:szCs w:val="22"/>
          <w:lang w:eastAsia="es-CO"/>
        </w:rPr>
        <w:t xml:space="preserve">La observancia de los precedentes judiciales ha sido un criterio de procedencia excepcional de la acción de tutela. Igualmente, la Corte ha señalado que no solo sus precedentes </w:t>
      </w:r>
      <w:proofErr w:type="gramStart"/>
      <w:r w:rsidRPr="00DA1485">
        <w:rPr>
          <w:rFonts w:ascii="Arial" w:hAnsi="Arial" w:cs="Arial"/>
          <w:i/>
          <w:iCs/>
          <w:sz w:val="22"/>
          <w:szCs w:val="22"/>
          <w:lang w:eastAsia="es-CO"/>
        </w:rPr>
        <w:t>deben  respetarse</w:t>
      </w:r>
      <w:proofErr w:type="gramEnd"/>
      <w:r w:rsidRPr="00DA1485">
        <w:rPr>
          <w:rFonts w:ascii="Arial" w:hAnsi="Arial" w:cs="Arial"/>
          <w:i/>
          <w:iCs/>
          <w:sz w:val="22"/>
          <w:szCs w:val="22"/>
          <w:lang w:eastAsia="es-CO"/>
        </w:rPr>
        <w:t>, sino también los expedidos por las demás Cortes; parámetro expuesto desde la sentencia T-193 de 1995. En la sentencia C-335 de 2008 se sostuvo que: </w:t>
      </w:r>
      <w:r w:rsidRPr="00DA1485">
        <w:rPr>
          <w:rFonts w:ascii="Arial" w:hAnsi="Arial" w:cs="Arial"/>
          <w:i/>
          <w:iCs/>
          <w:sz w:val="22"/>
          <w:szCs w:val="22"/>
          <w:bdr w:val="none" w:sz="0" w:space="0" w:color="auto" w:frame="1"/>
          <w:lang w:eastAsia="es-CO"/>
        </w:rPr>
        <w:t>“De allí que reconocerle fuerza vinculante a la jurisprudencia sentada por la Corte Constitucional, la Corte Suprema de Justicia, el Consejo de Estado y la Sala Disciplinaria del Consejo Superior de la Judicatura, redunda en una mayor coherencia del sistema jurídico colombiano, lo cual no se contradice con imperativos de adaptación a los cambios sociales y económicos. De igual manera, la vinculatoriedad de los precedentes garantiza de mejor manera la vigencia del derecho a la igualdad ante la ley de los ciudadanos, por cuanto casos semejantes son fallados de igual manera. Así mismo, la sumisión de los jueces ordinarios a los precedentes sentados por las Altas Cortes asegura una mayor seguridad jurídica para el tráfico jurídico entre los particulares”. </w:t>
      </w:r>
      <w:r w:rsidRPr="00DA1485">
        <w:rPr>
          <w:rFonts w:ascii="Arial" w:hAnsi="Arial" w:cs="Arial"/>
          <w:i/>
          <w:iCs/>
          <w:sz w:val="22"/>
          <w:szCs w:val="22"/>
          <w:lang w:eastAsia="es-CO"/>
        </w:rPr>
        <w:t xml:space="preserve">Por su parte, en la sentencia C-816 de 2011 se consideró que las Cortes, al ser órganos de cierre, deben unificar la jurisprudencia en el ámbito de sus </w:t>
      </w:r>
      <w:r w:rsidRPr="00DA1485">
        <w:rPr>
          <w:rFonts w:ascii="Arial" w:hAnsi="Arial" w:cs="Arial"/>
          <w:i/>
          <w:iCs/>
          <w:sz w:val="22"/>
          <w:szCs w:val="22"/>
          <w:lang w:eastAsia="es-CO"/>
        </w:rPr>
        <w:lastRenderedPageBreak/>
        <w:t>jurisdicciones, aserto ratificado en la SU-053 de 2015 en la cual se señaló que, además de asegurar el principio de igualdad, la fuerza vinculante de la jurisprudencia de los órganos de cierre garantiza la primacía de la Constitución, la confianza, la certeza del derecho y el debido proceso. Ahora bien, la necesidad de imprimirle fuerza vinculante a los precedentes de las Cortes, como se explicó en la mencionada SU-053 de 2015, también toma en cuenta que la interpretación del derecho no es asunto pacífico y, en ese orden, los precedentes de estas corporaciones constituyen una herramienta trascendental en la solución de casos en los cuales las leyes pueden admitir diversas comprensiones en aras de evitar decisiones contradictorias en casos idénticos.</w:t>
      </w:r>
      <w:r w:rsidRPr="00DA1485">
        <w:rPr>
          <w:rFonts w:ascii="Arial" w:hAnsi="Arial" w:cs="Arial"/>
          <w:i/>
          <w:iCs/>
          <w:sz w:val="22"/>
          <w:szCs w:val="22"/>
          <w:bdr w:val="none" w:sz="0" w:space="0" w:color="auto" w:frame="1"/>
          <w:shd w:val="clear" w:color="auto" w:fill="FFFFFF"/>
          <w:lang w:eastAsia="es-CO"/>
        </w:rPr>
        <w:t> “</w:t>
      </w:r>
    </w:p>
    <w:p w14:paraId="78A1659C" w14:textId="77777777" w:rsidR="00460EA1" w:rsidRPr="00DA1485" w:rsidRDefault="00460EA1" w:rsidP="00DA1485">
      <w:pPr>
        <w:jc w:val="both"/>
        <w:rPr>
          <w:rFonts w:ascii="Arial" w:eastAsia="Verdana" w:hAnsi="Arial" w:cs="Arial"/>
          <w:noProof/>
          <w:sz w:val="24"/>
          <w:szCs w:val="24"/>
          <w:lang w:val="es-CO" w:eastAsia="es-CO"/>
        </w:rPr>
      </w:pPr>
    </w:p>
    <w:p w14:paraId="1245B56E" w14:textId="392DB72A" w:rsidR="00211C5A" w:rsidRPr="00DA1485" w:rsidRDefault="002D7325" w:rsidP="00DA1485">
      <w:pPr>
        <w:shd w:val="clear" w:color="auto" w:fill="FFFFFF"/>
        <w:jc w:val="both"/>
        <w:rPr>
          <w:rFonts w:ascii="Arial" w:hAnsi="Arial" w:cs="Arial"/>
          <w:sz w:val="24"/>
          <w:szCs w:val="24"/>
          <w:lang w:eastAsia="es-CO"/>
        </w:rPr>
      </w:pPr>
      <w:r w:rsidRPr="00DA1485">
        <w:rPr>
          <w:rFonts w:ascii="Arial" w:eastAsia="Verdana" w:hAnsi="Arial" w:cs="Arial"/>
          <w:noProof/>
          <w:sz w:val="24"/>
          <w:szCs w:val="24"/>
          <w:lang w:val="es-CO" w:eastAsia="es-CO"/>
        </w:rPr>
        <w:t>Ahora bien, e</w:t>
      </w:r>
      <w:r w:rsidR="00460EA1" w:rsidRPr="00DA1485">
        <w:rPr>
          <w:rFonts w:ascii="Arial" w:eastAsia="Verdana" w:hAnsi="Arial" w:cs="Arial"/>
          <w:noProof/>
          <w:sz w:val="24"/>
          <w:szCs w:val="24"/>
          <w:lang w:val="es-CO" w:eastAsia="es-CO"/>
        </w:rPr>
        <w:t xml:space="preserve">l fundamento jurídico para resolver la consulta formulada se encuentra en el </w:t>
      </w:r>
      <w:r w:rsidR="00211C5A" w:rsidRPr="00DA1485">
        <w:rPr>
          <w:rFonts w:ascii="Arial" w:eastAsia="Verdana" w:hAnsi="Arial" w:cs="Arial"/>
          <w:noProof/>
          <w:sz w:val="24"/>
          <w:szCs w:val="24"/>
          <w:lang w:val="es-CO" w:eastAsia="es-CO"/>
        </w:rPr>
        <w:t>desarrollo de la sentencia consultada SU-003 de</w:t>
      </w:r>
      <w:r w:rsidR="008A33D5" w:rsidRPr="00DA1485">
        <w:rPr>
          <w:rFonts w:ascii="Arial" w:eastAsia="Verdana" w:hAnsi="Arial" w:cs="Arial"/>
          <w:noProof/>
          <w:sz w:val="24"/>
          <w:szCs w:val="24"/>
          <w:lang w:val="es-CO" w:eastAsia="es-CO"/>
        </w:rPr>
        <w:t xml:space="preserve"> 2018, </w:t>
      </w:r>
      <w:r w:rsidR="0005208A" w:rsidRPr="00DA1485">
        <w:rPr>
          <w:rFonts w:ascii="Arial" w:eastAsia="Verdana" w:hAnsi="Arial" w:cs="Arial"/>
          <w:noProof/>
          <w:sz w:val="24"/>
          <w:szCs w:val="24"/>
          <w:lang w:val="es-CO" w:eastAsia="es-CO"/>
        </w:rPr>
        <w:t>proferida por la</w:t>
      </w:r>
      <w:r w:rsidR="008A33D5" w:rsidRPr="00DA1485">
        <w:rPr>
          <w:rFonts w:ascii="Arial" w:eastAsia="Verdana" w:hAnsi="Arial" w:cs="Arial"/>
          <w:noProof/>
          <w:sz w:val="24"/>
          <w:szCs w:val="24"/>
          <w:lang w:val="es-CO" w:eastAsia="es-CO"/>
        </w:rPr>
        <w:t xml:space="preserve"> </w:t>
      </w:r>
      <w:r w:rsidR="0005208A" w:rsidRPr="00DA1485">
        <w:rPr>
          <w:rFonts w:ascii="Arial" w:hAnsi="Arial" w:cs="Arial"/>
          <w:sz w:val="24"/>
          <w:szCs w:val="24"/>
          <w:lang w:eastAsia="es-CO"/>
        </w:rPr>
        <w:t>Sala Plena de la Corte Constitucional</w:t>
      </w:r>
      <w:r w:rsidR="007C6223" w:rsidRPr="00DA1485">
        <w:rPr>
          <w:rFonts w:ascii="Arial" w:hAnsi="Arial" w:cs="Arial"/>
          <w:sz w:val="24"/>
          <w:szCs w:val="24"/>
          <w:lang w:eastAsia="es-CO"/>
        </w:rPr>
        <w:t>.</w:t>
      </w:r>
      <w:r w:rsidR="0005208A" w:rsidRPr="00DA1485">
        <w:rPr>
          <w:rStyle w:val="Refdenotaalpie"/>
          <w:rFonts w:ascii="Arial" w:hAnsi="Arial" w:cs="Arial"/>
          <w:sz w:val="24"/>
          <w:szCs w:val="24"/>
          <w:lang w:eastAsia="es-CO"/>
        </w:rPr>
        <w:footnoteReference w:id="2"/>
      </w:r>
      <w:r w:rsidR="0005208A" w:rsidRPr="00DA1485">
        <w:rPr>
          <w:rFonts w:ascii="Arial" w:hAnsi="Arial" w:cs="Arial"/>
          <w:sz w:val="24"/>
          <w:szCs w:val="24"/>
          <w:lang w:eastAsia="es-CO"/>
        </w:rPr>
        <w:t> </w:t>
      </w:r>
      <w:r w:rsidR="00211C5A" w:rsidRPr="00DA1485">
        <w:rPr>
          <w:rFonts w:ascii="Arial" w:eastAsia="Verdana" w:hAnsi="Arial" w:cs="Arial"/>
          <w:noProof/>
          <w:sz w:val="24"/>
          <w:szCs w:val="24"/>
          <w:lang w:val="es-CO" w:eastAsia="es-CO"/>
        </w:rPr>
        <w:t xml:space="preserve">2018, </w:t>
      </w:r>
      <w:r w:rsidR="006C02EC">
        <w:rPr>
          <w:rFonts w:ascii="Arial" w:eastAsia="Verdana" w:hAnsi="Arial" w:cs="Arial"/>
          <w:noProof/>
          <w:sz w:val="24"/>
          <w:szCs w:val="24"/>
          <w:lang w:val="es-CO" w:eastAsia="es-CO"/>
        </w:rPr>
        <w:t xml:space="preserve">donde se abordan </w:t>
      </w:r>
      <w:r w:rsidR="00211C5A" w:rsidRPr="00DA1485">
        <w:rPr>
          <w:rFonts w:ascii="Arial" w:hAnsi="Arial" w:cs="Arial"/>
          <w:sz w:val="24"/>
          <w:szCs w:val="24"/>
          <w:lang w:eastAsia="es-CO"/>
        </w:rPr>
        <w:t>dos problemas jurídicos:</w:t>
      </w:r>
    </w:p>
    <w:p w14:paraId="0690D133" w14:textId="77777777" w:rsidR="00D132CA" w:rsidRPr="00DA1485" w:rsidRDefault="00D132CA" w:rsidP="00DA1485">
      <w:pPr>
        <w:shd w:val="clear" w:color="auto" w:fill="FFFFFF"/>
        <w:jc w:val="both"/>
        <w:rPr>
          <w:rFonts w:ascii="Arial" w:hAnsi="Arial" w:cs="Arial"/>
          <w:sz w:val="24"/>
          <w:szCs w:val="24"/>
          <w:lang w:eastAsia="es-CO"/>
        </w:rPr>
      </w:pPr>
    </w:p>
    <w:p w14:paraId="7CB64E24" w14:textId="29D89143" w:rsidR="00D132CA" w:rsidRPr="00DA1485" w:rsidRDefault="00D132CA" w:rsidP="00DA1485">
      <w:pPr>
        <w:shd w:val="clear" w:color="auto" w:fill="FFFFFF"/>
        <w:jc w:val="both"/>
        <w:rPr>
          <w:rFonts w:ascii="Arial" w:hAnsi="Arial" w:cs="Arial"/>
          <w:sz w:val="24"/>
          <w:szCs w:val="24"/>
          <w:lang w:eastAsia="es-CO"/>
        </w:rPr>
      </w:pPr>
      <w:r w:rsidRPr="00DA1485">
        <w:rPr>
          <w:rFonts w:ascii="Arial" w:hAnsi="Arial" w:cs="Arial"/>
          <w:sz w:val="24"/>
          <w:szCs w:val="24"/>
          <w:lang w:eastAsia="es-CO"/>
        </w:rPr>
        <w:t>El primero</w:t>
      </w:r>
      <w:r w:rsidR="00766AF5">
        <w:rPr>
          <w:rFonts w:ascii="Arial" w:hAnsi="Arial" w:cs="Arial"/>
          <w:sz w:val="24"/>
          <w:szCs w:val="24"/>
          <w:lang w:eastAsia="es-CO"/>
        </w:rPr>
        <w:t>,</w:t>
      </w:r>
      <w:r w:rsidRPr="00DA1485">
        <w:rPr>
          <w:rFonts w:ascii="Arial" w:hAnsi="Arial" w:cs="Arial"/>
          <w:sz w:val="24"/>
          <w:szCs w:val="24"/>
          <w:lang w:eastAsia="es-CO"/>
        </w:rPr>
        <w:t xml:space="preserve"> e</w:t>
      </w:r>
      <w:r w:rsidR="005307D2" w:rsidRPr="00DA1485">
        <w:rPr>
          <w:rFonts w:ascii="Arial" w:hAnsi="Arial" w:cs="Arial"/>
          <w:sz w:val="24"/>
          <w:szCs w:val="24"/>
          <w:lang w:eastAsia="es-CO"/>
        </w:rPr>
        <w:t xml:space="preserve">s </w:t>
      </w:r>
      <w:r w:rsidRPr="00DA1485">
        <w:rPr>
          <w:rFonts w:ascii="Arial" w:hAnsi="Arial" w:cs="Arial"/>
          <w:sz w:val="24"/>
          <w:szCs w:val="24"/>
          <w:lang w:eastAsia="es-CO"/>
        </w:rPr>
        <w:t>determinar si los empleados públicos de libre nombramiento y remoción gozan de estabilidad laboral reforzada y el segundo, establecer si cuando el único requisito faltante para acceder a la pensión de vejez es el de edad, dado que se acredita el cumplimiento del número mínimo de semanas de cotización, puede considerarse que la persona en esta situación es beneficiaria del fuero de estabilidad laboral reforzada de pre</w:t>
      </w:r>
      <w:r w:rsidR="00DA1485">
        <w:rPr>
          <w:rFonts w:ascii="Arial" w:hAnsi="Arial" w:cs="Arial"/>
          <w:sz w:val="24"/>
          <w:szCs w:val="24"/>
          <w:lang w:eastAsia="es-CO"/>
        </w:rPr>
        <w:t xml:space="preserve"> </w:t>
      </w:r>
      <w:r w:rsidRPr="00DA1485">
        <w:rPr>
          <w:rFonts w:ascii="Arial" w:hAnsi="Arial" w:cs="Arial"/>
          <w:sz w:val="24"/>
          <w:szCs w:val="24"/>
          <w:lang w:eastAsia="es-CO"/>
        </w:rPr>
        <w:t xml:space="preserve">pensionable. </w:t>
      </w:r>
    </w:p>
    <w:p w14:paraId="5A9D4EEB" w14:textId="6696E0FB" w:rsidR="00211C5A" w:rsidRPr="00DA1485" w:rsidRDefault="00211C5A" w:rsidP="00DA1485">
      <w:pPr>
        <w:shd w:val="clear" w:color="auto" w:fill="FFFFFF"/>
        <w:ind w:right="49"/>
        <w:jc w:val="both"/>
        <w:rPr>
          <w:rFonts w:ascii="Arial" w:hAnsi="Arial" w:cs="Arial"/>
          <w:sz w:val="24"/>
          <w:szCs w:val="24"/>
          <w:lang w:eastAsia="es-CO"/>
        </w:rPr>
      </w:pPr>
    </w:p>
    <w:p w14:paraId="41FEC642" w14:textId="77BDF683" w:rsidR="00460EA1" w:rsidRPr="00DA1485" w:rsidRDefault="00766AF5" w:rsidP="00DA1485">
      <w:pPr>
        <w:jc w:val="both"/>
        <w:rPr>
          <w:rFonts w:ascii="Arial" w:hAnsi="Arial" w:cs="Arial"/>
          <w:sz w:val="24"/>
          <w:szCs w:val="24"/>
          <w:lang w:eastAsia="x-none"/>
        </w:rPr>
      </w:pPr>
      <w:r>
        <w:rPr>
          <w:rFonts w:ascii="Arial" w:hAnsi="Arial" w:cs="Arial"/>
          <w:sz w:val="24"/>
          <w:szCs w:val="24"/>
          <w:lang w:eastAsia="x-none"/>
        </w:rPr>
        <w:t xml:space="preserve">En la jurisprudencia </w:t>
      </w:r>
      <w:r w:rsidR="006005DF">
        <w:rPr>
          <w:rFonts w:ascii="Arial" w:hAnsi="Arial" w:cs="Arial"/>
          <w:sz w:val="24"/>
          <w:szCs w:val="24"/>
          <w:lang w:eastAsia="x-none"/>
        </w:rPr>
        <w:t xml:space="preserve">de la </w:t>
      </w:r>
      <w:r w:rsidR="006005DF" w:rsidRPr="00DA1485">
        <w:rPr>
          <w:rFonts w:ascii="Arial" w:hAnsi="Arial" w:cs="Arial"/>
          <w:sz w:val="24"/>
          <w:szCs w:val="24"/>
          <w:lang w:eastAsia="x-none"/>
        </w:rPr>
        <w:t xml:space="preserve">Corte </w:t>
      </w:r>
      <w:r w:rsidR="006005DF">
        <w:rPr>
          <w:rFonts w:ascii="Arial" w:hAnsi="Arial" w:cs="Arial"/>
          <w:sz w:val="24"/>
          <w:szCs w:val="24"/>
          <w:lang w:eastAsia="x-none"/>
        </w:rPr>
        <w:t>Constitucional</w:t>
      </w:r>
      <w:r w:rsidR="006005DF" w:rsidRPr="00DA1485">
        <w:rPr>
          <w:rFonts w:ascii="Arial" w:hAnsi="Arial" w:cs="Arial"/>
          <w:sz w:val="24"/>
          <w:szCs w:val="24"/>
          <w:lang w:eastAsia="x-none"/>
        </w:rPr>
        <w:t xml:space="preserve"> con criterio de unificación jurisprudencial, </w:t>
      </w:r>
      <w:r>
        <w:rPr>
          <w:rFonts w:ascii="Arial" w:hAnsi="Arial" w:cs="Arial"/>
          <w:sz w:val="24"/>
          <w:szCs w:val="24"/>
          <w:lang w:eastAsia="x-none"/>
        </w:rPr>
        <w:t xml:space="preserve">objeto de consulta, se hizo referencia </w:t>
      </w:r>
      <w:r w:rsidR="00834EA5" w:rsidRPr="00DA1485">
        <w:rPr>
          <w:rFonts w:ascii="Arial" w:hAnsi="Arial" w:cs="Arial"/>
          <w:sz w:val="24"/>
          <w:szCs w:val="24"/>
          <w:lang w:eastAsia="x-none"/>
        </w:rPr>
        <w:t>al segundo interrogante</w:t>
      </w:r>
      <w:r w:rsidR="000566D1" w:rsidRPr="00DA1485">
        <w:rPr>
          <w:rFonts w:ascii="Arial" w:hAnsi="Arial" w:cs="Arial"/>
          <w:sz w:val="24"/>
          <w:szCs w:val="24"/>
          <w:lang w:eastAsia="x-none"/>
        </w:rPr>
        <w:t>,</w:t>
      </w:r>
      <w:r w:rsidR="00834EA5" w:rsidRPr="00DA1485">
        <w:rPr>
          <w:rFonts w:ascii="Arial" w:hAnsi="Arial" w:cs="Arial"/>
          <w:sz w:val="24"/>
          <w:szCs w:val="24"/>
          <w:lang w:eastAsia="x-none"/>
        </w:rPr>
        <w:t xml:space="preserve"> </w:t>
      </w:r>
      <w:r>
        <w:rPr>
          <w:rFonts w:ascii="Arial" w:hAnsi="Arial" w:cs="Arial"/>
          <w:sz w:val="24"/>
          <w:szCs w:val="24"/>
          <w:lang w:eastAsia="x-none"/>
        </w:rPr>
        <w:t xml:space="preserve">estableciendo </w:t>
      </w:r>
      <w:r w:rsidR="000566D1" w:rsidRPr="00DA1485">
        <w:rPr>
          <w:rFonts w:ascii="Arial" w:hAnsi="Arial" w:cs="Arial"/>
          <w:sz w:val="24"/>
          <w:szCs w:val="24"/>
          <w:lang w:eastAsia="x-none"/>
        </w:rPr>
        <w:t xml:space="preserve">que </w:t>
      </w:r>
      <w:r w:rsidRPr="00DA1485">
        <w:rPr>
          <w:rFonts w:ascii="Arial" w:hAnsi="Arial" w:cs="Arial"/>
          <w:sz w:val="24"/>
          <w:szCs w:val="24"/>
          <w:lang w:eastAsia="x-none"/>
        </w:rPr>
        <w:t xml:space="preserve">no es beneficiaria del fuero de estabilidad </w:t>
      </w:r>
      <w:r w:rsidR="006005DF" w:rsidRPr="00DA1485">
        <w:rPr>
          <w:rFonts w:ascii="Arial" w:hAnsi="Arial" w:cs="Arial"/>
          <w:sz w:val="24"/>
          <w:szCs w:val="24"/>
          <w:lang w:eastAsia="es-CO"/>
        </w:rPr>
        <w:t>laboral reforzada de pre</w:t>
      </w:r>
      <w:r w:rsidR="006005DF">
        <w:rPr>
          <w:rFonts w:ascii="Arial" w:hAnsi="Arial" w:cs="Arial"/>
          <w:sz w:val="24"/>
          <w:szCs w:val="24"/>
          <w:lang w:eastAsia="es-CO"/>
        </w:rPr>
        <w:t xml:space="preserve"> </w:t>
      </w:r>
      <w:r w:rsidR="006005DF" w:rsidRPr="00DA1485">
        <w:rPr>
          <w:rFonts w:ascii="Arial" w:hAnsi="Arial" w:cs="Arial"/>
          <w:sz w:val="24"/>
          <w:szCs w:val="24"/>
          <w:lang w:eastAsia="es-CO"/>
        </w:rPr>
        <w:t>pensionable</w:t>
      </w:r>
      <w:r w:rsidR="006A5ACE" w:rsidRPr="00DA1485">
        <w:rPr>
          <w:rFonts w:ascii="Arial" w:hAnsi="Arial" w:cs="Arial"/>
          <w:sz w:val="24"/>
          <w:szCs w:val="24"/>
          <w:lang w:eastAsia="x-none"/>
        </w:rPr>
        <w:t xml:space="preserve"> la persona </w:t>
      </w:r>
      <w:r w:rsidR="006005DF">
        <w:rPr>
          <w:rFonts w:ascii="Arial" w:hAnsi="Arial" w:cs="Arial"/>
          <w:sz w:val="24"/>
          <w:szCs w:val="24"/>
          <w:lang w:eastAsia="x-none"/>
        </w:rPr>
        <w:t xml:space="preserve">que </w:t>
      </w:r>
      <w:r w:rsidR="00783162" w:rsidRPr="00DA1485">
        <w:rPr>
          <w:rFonts w:ascii="Arial" w:hAnsi="Arial" w:cs="Arial"/>
          <w:sz w:val="24"/>
          <w:szCs w:val="24"/>
          <w:lang w:eastAsia="x-none"/>
        </w:rPr>
        <w:t xml:space="preserve">solamente le falta cumplir </w:t>
      </w:r>
      <w:r>
        <w:rPr>
          <w:rFonts w:ascii="Arial" w:hAnsi="Arial" w:cs="Arial"/>
          <w:sz w:val="24"/>
          <w:szCs w:val="24"/>
          <w:lang w:eastAsia="x-none"/>
        </w:rPr>
        <w:t xml:space="preserve">el requisito de </w:t>
      </w:r>
      <w:r w:rsidR="00783162" w:rsidRPr="00DA1485">
        <w:rPr>
          <w:rFonts w:ascii="Arial" w:hAnsi="Arial" w:cs="Arial"/>
          <w:sz w:val="24"/>
          <w:szCs w:val="24"/>
          <w:lang w:eastAsia="x-none"/>
        </w:rPr>
        <w:t>la edad para tener derecho a</w:t>
      </w:r>
      <w:r w:rsidR="00102CE0" w:rsidRPr="00DA1485">
        <w:rPr>
          <w:rFonts w:ascii="Arial" w:hAnsi="Arial" w:cs="Arial"/>
          <w:sz w:val="24"/>
          <w:szCs w:val="24"/>
          <w:lang w:eastAsia="x-none"/>
        </w:rPr>
        <w:t>l reconocimiento de</w:t>
      </w:r>
      <w:r w:rsidR="00783162" w:rsidRPr="00DA1485">
        <w:rPr>
          <w:rFonts w:ascii="Arial" w:hAnsi="Arial" w:cs="Arial"/>
          <w:sz w:val="24"/>
          <w:szCs w:val="24"/>
          <w:lang w:eastAsia="x-none"/>
        </w:rPr>
        <w:t xml:space="preserve"> la pensión</w:t>
      </w:r>
      <w:r>
        <w:rPr>
          <w:rFonts w:ascii="Arial" w:hAnsi="Arial" w:cs="Arial"/>
          <w:sz w:val="24"/>
          <w:szCs w:val="24"/>
          <w:lang w:eastAsia="x-none"/>
        </w:rPr>
        <w:t>:</w:t>
      </w:r>
    </w:p>
    <w:p w14:paraId="5E01F050" w14:textId="77777777" w:rsidR="00834EA5" w:rsidRPr="00DA1485" w:rsidRDefault="00834EA5" w:rsidP="00DA1485">
      <w:pPr>
        <w:jc w:val="both"/>
        <w:rPr>
          <w:rFonts w:ascii="Arial" w:hAnsi="Arial" w:cs="Arial"/>
          <w:sz w:val="24"/>
          <w:szCs w:val="24"/>
          <w:lang w:eastAsia="x-none"/>
        </w:rPr>
      </w:pPr>
    </w:p>
    <w:p w14:paraId="322C6167" w14:textId="25F5CD0E" w:rsidR="00834EA5" w:rsidRPr="00DA1485" w:rsidRDefault="00834EA5" w:rsidP="00DA1485">
      <w:pPr>
        <w:shd w:val="clear" w:color="auto" w:fill="FFFFFF"/>
        <w:tabs>
          <w:tab w:val="left" w:pos="8789"/>
        </w:tabs>
        <w:ind w:left="284" w:right="283"/>
        <w:jc w:val="both"/>
        <w:rPr>
          <w:rFonts w:ascii="Arial" w:hAnsi="Arial" w:cs="Arial"/>
          <w:i/>
          <w:sz w:val="22"/>
          <w:szCs w:val="22"/>
          <w:shd w:val="clear" w:color="auto" w:fill="FFFFFF"/>
        </w:rPr>
      </w:pPr>
      <w:r w:rsidRPr="00DA1485">
        <w:rPr>
          <w:rFonts w:ascii="Arial" w:hAnsi="Arial" w:cs="Arial"/>
          <w:i/>
          <w:sz w:val="22"/>
          <w:szCs w:val="22"/>
          <w:shd w:val="clear" w:color="auto" w:fill="FFFFFF"/>
        </w:rPr>
        <w:t xml:space="preserve">“59.  Para la Sala Plena, con fines de unificación jurisprudencial, cuando el único requisito faltante para acceder a la pensión de vejez es el de edad, dado que se acredita el cumplimiento del número mínimo de semanas de cotización, no hay lugar a considerar que la persona es beneficiaria del fuero de estabilidad laboral reforzada de </w:t>
      </w:r>
      <w:proofErr w:type="spellStart"/>
      <w:r w:rsidRPr="00DA1485">
        <w:rPr>
          <w:rFonts w:ascii="Arial" w:hAnsi="Arial" w:cs="Arial"/>
          <w:i/>
          <w:sz w:val="22"/>
          <w:szCs w:val="22"/>
          <w:shd w:val="clear" w:color="auto" w:fill="FFFFFF"/>
        </w:rPr>
        <w:t>prepensionable</w:t>
      </w:r>
      <w:proofErr w:type="spellEnd"/>
      <w:r w:rsidRPr="00DA1485">
        <w:rPr>
          <w:rFonts w:ascii="Arial" w:hAnsi="Arial" w:cs="Arial"/>
          <w:i/>
          <w:sz w:val="22"/>
          <w:szCs w:val="22"/>
          <w:shd w:val="clear" w:color="auto" w:fill="FFFFFF"/>
        </w:rPr>
        <w:t>, dado que el requisito faltante de edad puede ser cumplido de manera posterior, con o sin vinculación laboral vigente. En estos casos, no se frustra el acceso a la pensión de vejez. Para fundamentar esta </w:t>
      </w:r>
      <w:r w:rsidRPr="00DA1485">
        <w:rPr>
          <w:rFonts w:ascii="Arial" w:hAnsi="Arial" w:cs="Arial"/>
          <w:b/>
          <w:bCs/>
          <w:i/>
          <w:iCs/>
          <w:sz w:val="22"/>
          <w:szCs w:val="22"/>
          <w:shd w:val="clear" w:color="auto" w:fill="FFFFFF"/>
        </w:rPr>
        <w:t>segunda regla de unificación jurisprudencial</w:t>
      </w:r>
      <w:r w:rsidRPr="00DA1485">
        <w:rPr>
          <w:rFonts w:ascii="Arial" w:hAnsi="Arial" w:cs="Arial"/>
          <w:i/>
          <w:sz w:val="22"/>
          <w:szCs w:val="22"/>
          <w:shd w:val="clear" w:color="auto" w:fill="FFFFFF"/>
        </w:rPr>
        <w:t> se hace referencia a la jurisprudencia constitucional que ha desarrollado la figura y a su finalidad específica, en aras de determinar por qué, en el supuesto de unificación, no se frustra el acceso a la pensión de vejez.</w:t>
      </w:r>
    </w:p>
    <w:p w14:paraId="2166F259" w14:textId="77777777" w:rsidR="00DA1485" w:rsidRDefault="00DA1485" w:rsidP="00DA1485">
      <w:pPr>
        <w:shd w:val="clear" w:color="auto" w:fill="FFFFFF"/>
        <w:tabs>
          <w:tab w:val="left" w:pos="8789"/>
        </w:tabs>
        <w:ind w:left="284" w:right="283"/>
        <w:jc w:val="both"/>
        <w:rPr>
          <w:rFonts w:ascii="Arial" w:hAnsi="Arial" w:cs="Arial"/>
          <w:i/>
          <w:sz w:val="22"/>
          <w:szCs w:val="22"/>
          <w:shd w:val="clear" w:color="auto" w:fill="FFFFFF"/>
        </w:rPr>
      </w:pPr>
    </w:p>
    <w:p w14:paraId="6BA1776B" w14:textId="78063688" w:rsidR="00834EA5" w:rsidRPr="00DA1485" w:rsidRDefault="00834EA5" w:rsidP="00DA1485">
      <w:pPr>
        <w:shd w:val="clear" w:color="auto" w:fill="FFFFFF"/>
        <w:tabs>
          <w:tab w:val="left" w:pos="8789"/>
        </w:tabs>
        <w:ind w:left="284" w:right="283"/>
        <w:jc w:val="both"/>
        <w:rPr>
          <w:rFonts w:ascii="Arial" w:hAnsi="Arial" w:cs="Arial"/>
          <w:i/>
          <w:sz w:val="22"/>
          <w:szCs w:val="22"/>
          <w:u w:val="single"/>
          <w:shd w:val="clear" w:color="auto" w:fill="FFFFFF"/>
        </w:rPr>
      </w:pPr>
      <w:r w:rsidRPr="00DA1485">
        <w:rPr>
          <w:rFonts w:ascii="Arial" w:hAnsi="Arial" w:cs="Arial"/>
          <w:i/>
          <w:sz w:val="22"/>
          <w:szCs w:val="22"/>
          <w:shd w:val="clear" w:color="auto" w:fill="FFFFFF"/>
        </w:rPr>
        <w:t>62.       </w:t>
      </w:r>
      <w:r w:rsidRPr="00DA1485">
        <w:rPr>
          <w:rFonts w:ascii="Arial" w:hAnsi="Arial" w:cs="Arial"/>
          <w:i/>
          <w:sz w:val="22"/>
          <w:szCs w:val="22"/>
          <w:u w:val="single"/>
          <w:shd w:val="clear" w:color="auto" w:fill="FFFFFF"/>
        </w:rPr>
        <w:t>La “</w:t>
      </w:r>
      <w:proofErr w:type="spellStart"/>
      <w:r w:rsidRPr="00DA1485">
        <w:rPr>
          <w:rFonts w:ascii="Arial" w:hAnsi="Arial" w:cs="Arial"/>
          <w:i/>
          <w:sz w:val="22"/>
          <w:szCs w:val="22"/>
          <w:u w:val="single"/>
          <w:shd w:val="clear" w:color="auto" w:fill="FFFFFF"/>
        </w:rPr>
        <w:t>prepensión</w:t>
      </w:r>
      <w:proofErr w:type="spellEnd"/>
      <w:r w:rsidRPr="00DA1485">
        <w:rPr>
          <w:rFonts w:ascii="Arial" w:hAnsi="Arial" w:cs="Arial"/>
          <w:i/>
          <w:sz w:val="22"/>
          <w:szCs w:val="22"/>
          <w:u w:val="single"/>
          <w:shd w:val="clear" w:color="auto" w:fill="FFFFFF"/>
        </w:rPr>
        <w:t>” protege la expectativa del trabajador de obtener su pensión de vejez, ante su posible frustración como consecuencia de una pérdida intempestiva del empleo. Por tanto, ampara la estabilidad en el cargo y la continuidad en la cotización efectiva al Sistema General de Seguridad Social en Pensiones, para consolidar los requisitos que le faltaren para acceder a su pensión de vejez.</w:t>
      </w:r>
    </w:p>
    <w:p w14:paraId="1D23F374" w14:textId="77777777" w:rsidR="00DA1485" w:rsidRDefault="00DA1485" w:rsidP="00DA1485">
      <w:pPr>
        <w:shd w:val="clear" w:color="auto" w:fill="FFFFFF"/>
        <w:tabs>
          <w:tab w:val="left" w:pos="8789"/>
        </w:tabs>
        <w:ind w:left="284" w:right="283"/>
        <w:jc w:val="both"/>
        <w:rPr>
          <w:rFonts w:ascii="Arial" w:hAnsi="Arial" w:cs="Arial"/>
          <w:i/>
          <w:sz w:val="22"/>
          <w:szCs w:val="22"/>
          <w:shd w:val="clear" w:color="auto" w:fill="FFFFFF"/>
        </w:rPr>
      </w:pPr>
    </w:p>
    <w:p w14:paraId="2C6F3D42" w14:textId="056C0C63" w:rsidR="00834EA5" w:rsidRPr="00DA1485" w:rsidRDefault="00834EA5" w:rsidP="00DA1485">
      <w:pPr>
        <w:shd w:val="clear" w:color="auto" w:fill="FFFFFF"/>
        <w:tabs>
          <w:tab w:val="left" w:pos="8789"/>
        </w:tabs>
        <w:ind w:left="284" w:right="283"/>
        <w:jc w:val="both"/>
        <w:rPr>
          <w:rFonts w:ascii="Arial" w:hAnsi="Arial" w:cs="Arial"/>
          <w:i/>
          <w:sz w:val="22"/>
          <w:szCs w:val="22"/>
          <w:lang w:eastAsia="es-CO"/>
        </w:rPr>
      </w:pPr>
      <w:r w:rsidRPr="00DA1485">
        <w:rPr>
          <w:rFonts w:ascii="Arial" w:hAnsi="Arial" w:cs="Arial"/>
          <w:i/>
          <w:sz w:val="22"/>
          <w:szCs w:val="22"/>
          <w:shd w:val="clear" w:color="auto" w:fill="FFFFFF"/>
        </w:rPr>
        <w:t xml:space="preserve">64.       En consecuencia, cuando el único requisito faltante para acceder a la pensión de vejez es el de la edad, dado que se acredita el cumplimiento del número mínimo de semanas de cotización, en caso de desvinculación, no se frustra el acceso a la pensión de vejez, de allí que no haya lugar a considerar que la persona sea beneficiaria del fuero de estabilidad laboral reforzada de </w:t>
      </w:r>
      <w:proofErr w:type="spellStart"/>
      <w:r w:rsidRPr="00DA1485">
        <w:rPr>
          <w:rFonts w:ascii="Arial" w:hAnsi="Arial" w:cs="Arial"/>
          <w:i/>
          <w:sz w:val="22"/>
          <w:szCs w:val="22"/>
          <w:shd w:val="clear" w:color="auto" w:fill="FFFFFF"/>
        </w:rPr>
        <w:t>prepensionable</w:t>
      </w:r>
      <w:proofErr w:type="spellEnd"/>
      <w:r w:rsidRPr="00DA1485">
        <w:rPr>
          <w:rFonts w:ascii="Arial" w:hAnsi="Arial" w:cs="Arial"/>
          <w:i/>
          <w:sz w:val="22"/>
          <w:szCs w:val="22"/>
          <w:shd w:val="clear" w:color="auto" w:fill="FFFFFF"/>
        </w:rPr>
        <w:t>, dado que el requisito faltante, relativo a la edad, puede ser cumplido de manera posterior, con o sin vinculación laboral vigente.”</w:t>
      </w:r>
      <w:r w:rsidR="005136C1" w:rsidRPr="00DA1485">
        <w:rPr>
          <w:rFonts w:ascii="Arial" w:hAnsi="Arial" w:cs="Arial"/>
          <w:i/>
          <w:sz w:val="22"/>
          <w:szCs w:val="22"/>
          <w:shd w:val="clear" w:color="auto" w:fill="FFFFFF"/>
        </w:rPr>
        <w:t xml:space="preserve"> </w:t>
      </w:r>
      <w:r w:rsidR="005136C1" w:rsidRPr="00DA1485">
        <w:rPr>
          <w:rFonts w:ascii="Arial" w:hAnsi="Arial" w:cs="Arial"/>
          <w:iCs/>
          <w:sz w:val="22"/>
          <w:szCs w:val="22"/>
          <w:shd w:val="clear" w:color="auto" w:fill="FFFFFF"/>
        </w:rPr>
        <w:t>(Resaltado fuera del texto)</w:t>
      </w:r>
      <w:r w:rsidR="005136C1" w:rsidRPr="00DA1485">
        <w:rPr>
          <w:rFonts w:ascii="Arial" w:hAnsi="Arial" w:cs="Arial"/>
          <w:i/>
          <w:sz w:val="22"/>
          <w:szCs w:val="22"/>
          <w:shd w:val="clear" w:color="auto" w:fill="FFFFFF"/>
        </w:rPr>
        <w:t xml:space="preserve"> </w:t>
      </w:r>
    </w:p>
    <w:p w14:paraId="29267927" w14:textId="77777777" w:rsidR="00DA1485" w:rsidRDefault="00DA1485" w:rsidP="00DA1485">
      <w:pPr>
        <w:jc w:val="both"/>
        <w:rPr>
          <w:rFonts w:ascii="Arial" w:hAnsi="Arial" w:cs="Arial"/>
          <w:bCs/>
          <w:sz w:val="24"/>
          <w:szCs w:val="24"/>
        </w:rPr>
      </w:pPr>
    </w:p>
    <w:p w14:paraId="7334F2DA" w14:textId="603C92FD" w:rsidR="0029268B" w:rsidRPr="00DA1485" w:rsidRDefault="00755972" w:rsidP="00DA1485">
      <w:pPr>
        <w:jc w:val="both"/>
        <w:rPr>
          <w:rFonts w:ascii="Arial" w:hAnsi="Arial" w:cs="Arial"/>
          <w:sz w:val="24"/>
          <w:szCs w:val="24"/>
          <w:lang w:eastAsia="es-CO"/>
        </w:rPr>
      </w:pPr>
      <w:r w:rsidRPr="00DA1485">
        <w:rPr>
          <w:rFonts w:ascii="Arial" w:hAnsi="Arial" w:cs="Arial"/>
          <w:bCs/>
          <w:sz w:val="24"/>
          <w:szCs w:val="24"/>
        </w:rPr>
        <w:t>Dentro de estos parámetros</w:t>
      </w:r>
      <w:r w:rsidR="00F21BF6" w:rsidRPr="00DA1485">
        <w:rPr>
          <w:rFonts w:ascii="Arial" w:hAnsi="Arial" w:cs="Arial"/>
          <w:bCs/>
          <w:sz w:val="24"/>
          <w:szCs w:val="24"/>
        </w:rPr>
        <w:t>,</w:t>
      </w:r>
      <w:r w:rsidRPr="00DA1485">
        <w:rPr>
          <w:rFonts w:ascii="Arial" w:hAnsi="Arial" w:cs="Arial"/>
          <w:bCs/>
          <w:sz w:val="24"/>
          <w:szCs w:val="24"/>
        </w:rPr>
        <w:t xml:space="preserve"> y </w:t>
      </w:r>
      <w:r w:rsidRPr="00DA1485">
        <w:rPr>
          <w:rFonts w:ascii="Arial" w:hAnsi="Arial" w:cs="Arial"/>
          <w:sz w:val="24"/>
          <w:szCs w:val="24"/>
          <w:lang w:eastAsia="es-CO"/>
        </w:rPr>
        <w:t>para efectos de</w:t>
      </w:r>
      <w:r w:rsidR="00C26403" w:rsidRPr="00DA1485">
        <w:rPr>
          <w:rFonts w:ascii="Arial" w:hAnsi="Arial" w:cs="Arial"/>
          <w:sz w:val="24"/>
          <w:szCs w:val="24"/>
          <w:lang w:eastAsia="es-CO"/>
        </w:rPr>
        <w:t xml:space="preserve"> fijar el alcance de esta </w:t>
      </w:r>
      <w:r w:rsidR="00AB0CE8" w:rsidRPr="00DA1485">
        <w:rPr>
          <w:rFonts w:ascii="Arial" w:hAnsi="Arial" w:cs="Arial"/>
          <w:sz w:val="24"/>
          <w:szCs w:val="24"/>
          <w:lang w:eastAsia="es-CO"/>
        </w:rPr>
        <w:t>conclusión</w:t>
      </w:r>
      <w:r w:rsidR="00F21BF6" w:rsidRPr="00DA1485">
        <w:rPr>
          <w:rFonts w:ascii="Arial" w:hAnsi="Arial" w:cs="Arial"/>
          <w:sz w:val="24"/>
          <w:szCs w:val="24"/>
          <w:lang w:eastAsia="es-CO"/>
        </w:rPr>
        <w:t xml:space="preserve"> </w:t>
      </w:r>
      <w:r w:rsidRPr="00DA1485">
        <w:rPr>
          <w:rFonts w:ascii="Arial" w:hAnsi="Arial" w:cs="Arial"/>
          <w:sz w:val="24"/>
          <w:szCs w:val="24"/>
          <w:lang w:eastAsia="es-CO"/>
        </w:rPr>
        <w:t>jurisprudencial,</w:t>
      </w:r>
      <w:r w:rsidR="00F21BF6" w:rsidRPr="00DA1485">
        <w:rPr>
          <w:rFonts w:ascii="Arial" w:hAnsi="Arial" w:cs="Arial"/>
          <w:sz w:val="24"/>
          <w:szCs w:val="24"/>
          <w:lang w:eastAsia="es-CO"/>
        </w:rPr>
        <w:t xml:space="preserve"> la Corte Constitucional</w:t>
      </w:r>
      <w:r w:rsidRPr="00DA1485">
        <w:rPr>
          <w:rFonts w:ascii="Arial" w:hAnsi="Arial" w:cs="Arial"/>
          <w:sz w:val="24"/>
          <w:szCs w:val="24"/>
          <w:lang w:eastAsia="es-CO"/>
        </w:rPr>
        <w:t xml:space="preserve"> fija esta regla de interpretación para un contexto general, sin discriminar el tipo de vinculación,</w:t>
      </w:r>
      <w:r w:rsidR="0086051C">
        <w:rPr>
          <w:rFonts w:ascii="Arial" w:hAnsi="Arial" w:cs="Arial"/>
          <w:sz w:val="24"/>
          <w:szCs w:val="24"/>
          <w:lang w:eastAsia="es-CO"/>
        </w:rPr>
        <w:t xml:space="preserve"> bien sea</w:t>
      </w:r>
      <w:r w:rsidRPr="00DA1485">
        <w:rPr>
          <w:rFonts w:ascii="Arial" w:hAnsi="Arial" w:cs="Arial"/>
          <w:sz w:val="24"/>
          <w:szCs w:val="24"/>
          <w:lang w:eastAsia="es-CO"/>
        </w:rPr>
        <w:t xml:space="preserve"> de libre nombramiento y </w:t>
      </w:r>
      <w:proofErr w:type="gramStart"/>
      <w:r w:rsidRPr="00DA1485">
        <w:rPr>
          <w:rFonts w:ascii="Arial" w:hAnsi="Arial" w:cs="Arial"/>
          <w:sz w:val="24"/>
          <w:szCs w:val="24"/>
          <w:lang w:eastAsia="es-CO"/>
        </w:rPr>
        <w:t>remoción</w:t>
      </w:r>
      <w:r w:rsidR="00C26403" w:rsidRPr="00DA1485">
        <w:rPr>
          <w:rFonts w:ascii="Arial" w:hAnsi="Arial" w:cs="Arial"/>
          <w:sz w:val="24"/>
          <w:szCs w:val="24"/>
          <w:lang w:eastAsia="es-CO"/>
        </w:rPr>
        <w:t xml:space="preserve">, </w:t>
      </w:r>
      <w:r w:rsidRPr="00DA1485">
        <w:rPr>
          <w:rFonts w:ascii="Arial" w:hAnsi="Arial" w:cs="Arial"/>
          <w:sz w:val="24"/>
          <w:szCs w:val="24"/>
          <w:lang w:eastAsia="es-CO"/>
        </w:rPr>
        <w:t xml:space="preserve"> o</w:t>
      </w:r>
      <w:proofErr w:type="gramEnd"/>
      <w:r w:rsidRPr="00DA1485">
        <w:rPr>
          <w:rFonts w:ascii="Arial" w:hAnsi="Arial" w:cs="Arial"/>
          <w:sz w:val="24"/>
          <w:szCs w:val="24"/>
          <w:lang w:eastAsia="es-CO"/>
        </w:rPr>
        <w:t xml:space="preserve"> provisional</w:t>
      </w:r>
      <w:r w:rsidR="0086051C">
        <w:rPr>
          <w:rFonts w:ascii="Arial" w:hAnsi="Arial" w:cs="Arial"/>
          <w:sz w:val="24"/>
          <w:szCs w:val="24"/>
          <w:lang w:eastAsia="es-CO"/>
        </w:rPr>
        <w:t>,</w:t>
      </w:r>
      <w:r w:rsidR="0086051C" w:rsidRPr="0086051C">
        <w:rPr>
          <w:rFonts w:ascii="Arial" w:hAnsi="Arial" w:cs="Arial"/>
          <w:sz w:val="24"/>
          <w:szCs w:val="24"/>
          <w:lang w:eastAsia="es-CO"/>
        </w:rPr>
        <w:t xml:space="preserve"> </w:t>
      </w:r>
      <w:r w:rsidR="0086051C">
        <w:rPr>
          <w:rFonts w:ascii="Arial" w:hAnsi="Arial" w:cs="Arial"/>
          <w:sz w:val="24"/>
          <w:szCs w:val="24"/>
          <w:lang w:eastAsia="es-CO"/>
        </w:rPr>
        <w:t>en el caso del sector público.</w:t>
      </w:r>
    </w:p>
    <w:p w14:paraId="596B71BB" w14:textId="77777777" w:rsidR="0029268B" w:rsidRPr="00DA1485" w:rsidRDefault="0029268B" w:rsidP="00DA1485">
      <w:pPr>
        <w:jc w:val="both"/>
        <w:rPr>
          <w:rFonts w:ascii="Arial" w:hAnsi="Arial" w:cs="Arial"/>
          <w:sz w:val="24"/>
          <w:szCs w:val="24"/>
          <w:lang w:eastAsia="es-CO"/>
        </w:rPr>
      </w:pPr>
    </w:p>
    <w:p w14:paraId="232AC90E" w14:textId="190F68DE" w:rsidR="002D7325" w:rsidRPr="00DA1485" w:rsidRDefault="0027532D" w:rsidP="00DA1485">
      <w:pPr>
        <w:jc w:val="both"/>
        <w:rPr>
          <w:rFonts w:ascii="Arial" w:hAnsi="Arial" w:cs="Arial"/>
          <w:sz w:val="24"/>
          <w:szCs w:val="24"/>
          <w:lang w:eastAsia="es-CO"/>
        </w:rPr>
      </w:pPr>
      <w:r w:rsidRPr="00DA1485">
        <w:rPr>
          <w:rFonts w:ascii="Arial" w:hAnsi="Arial" w:cs="Arial"/>
          <w:sz w:val="24"/>
          <w:szCs w:val="24"/>
          <w:lang w:eastAsia="es-CO"/>
        </w:rPr>
        <w:t xml:space="preserve">Lo anterior </w:t>
      </w:r>
      <w:r w:rsidR="00BA55A6" w:rsidRPr="00DA1485">
        <w:rPr>
          <w:rFonts w:ascii="Arial" w:hAnsi="Arial" w:cs="Arial"/>
          <w:sz w:val="24"/>
          <w:szCs w:val="24"/>
          <w:lang w:eastAsia="es-CO"/>
        </w:rPr>
        <w:t>se refuerza en posteriores sentencias proferidas por la Corte Constitucional, dentro de las cuales se d</w:t>
      </w:r>
      <w:r w:rsidR="00155C8B" w:rsidRPr="00DA1485">
        <w:rPr>
          <w:rFonts w:ascii="Arial" w:hAnsi="Arial" w:cs="Arial"/>
          <w:sz w:val="24"/>
          <w:szCs w:val="24"/>
          <w:lang w:eastAsia="es-CO"/>
        </w:rPr>
        <w:t>estaca</w:t>
      </w:r>
      <w:r w:rsidR="00BA55A6" w:rsidRPr="00DA1485">
        <w:rPr>
          <w:rFonts w:ascii="Arial" w:hAnsi="Arial" w:cs="Arial"/>
          <w:sz w:val="24"/>
          <w:szCs w:val="24"/>
          <w:lang w:eastAsia="es-CO"/>
        </w:rPr>
        <w:t xml:space="preserve"> la Sentencia</w:t>
      </w:r>
      <w:r w:rsidR="00154737" w:rsidRPr="00DA1485">
        <w:rPr>
          <w:rFonts w:ascii="Arial" w:hAnsi="Arial" w:cs="Arial"/>
          <w:sz w:val="24"/>
          <w:szCs w:val="24"/>
          <w:lang w:eastAsia="es-CO"/>
        </w:rPr>
        <w:t xml:space="preserve"> T-055/20</w:t>
      </w:r>
      <w:r w:rsidR="00BA55A6" w:rsidRPr="00DA1485">
        <w:rPr>
          <w:rFonts w:ascii="Arial" w:hAnsi="Arial" w:cs="Arial"/>
          <w:sz w:val="24"/>
          <w:szCs w:val="24"/>
          <w:lang w:eastAsia="es-CO"/>
        </w:rPr>
        <w:t xml:space="preserve">: </w:t>
      </w:r>
    </w:p>
    <w:p w14:paraId="4C0D7FE8" w14:textId="77777777" w:rsidR="00C26403" w:rsidRPr="00DA1485" w:rsidRDefault="00C26403" w:rsidP="00DA1485">
      <w:pPr>
        <w:shd w:val="clear" w:color="auto" w:fill="FFFFFF"/>
        <w:jc w:val="both"/>
        <w:rPr>
          <w:rFonts w:ascii="Arial" w:hAnsi="Arial" w:cs="Arial"/>
          <w:sz w:val="28"/>
          <w:szCs w:val="28"/>
          <w:lang w:eastAsia="es-CO"/>
        </w:rPr>
      </w:pPr>
    </w:p>
    <w:p w14:paraId="0CC9B72E" w14:textId="6565BD8D" w:rsidR="00BA55A6" w:rsidRPr="00DA1485" w:rsidRDefault="00811AD8" w:rsidP="00DA1485">
      <w:pPr>
        <w:shd w:val="clear" w:color="auto" w:fill="FFFFFF"/>
        <w:ind w:left="284" w:right="283"/>
        <w:jc w:val="both"/>
        <w:rPr>
          <w:rFonts w:ascii="Arial" w:hAnsi="Arial" w:cs="Arial"/>
          <w:i/>
          <w:sz w:val="22"/>
          <w:szCs w:val="22"/>
          <w:lang w:eastAsia="es-CO"/>
        </w:rPr>
      </w:pPr>
      <w:r w:rsidRPr="00DA1485">
        <w:rPr>
          <w:rFonts w:ascii="Arial" w:hAnsi="Arial" w:cs="Arial"/>
          <w:i/>
          <w:sz w:val="22"/>
          <w:szCs w:val="22"/>
          <w:lang w:eastAsia="es-CO"/>
        </w:rPr>
        <w:t>“</w:t>
      </w:r>
      <w:r w:rsidR="00BA55A6" w:rsidRPr="00DA1485">
        <w:rPr>
          <w:rFonts w:ascii="Arial" w:hAnsi="Arial" w:cs="Arial"/>
          <w:i/>
          <w:sz w:val="22"/>
          <w:szCs w:val="22"/>
          <w:lang w:eastAsia="es-CO"/>
        </w:rPr>
        <w:t>4.6. Sin embargo, el alcance de esta regla fue delimitado –para quienes se encuentran afiliados al RPM– por la Sala Plena de esta Corporación en la Sentencia SU-003 de 2018. En esa providencia, este Tribunal se propuso resolver dos problemas jurídicos. En uno de ellos, buscaba definir si: </w:t>
      </w:r>
      <w:r w:rsidR="00BA55A6" w:rsidRPr="00DA1485">
        <w:rPr>
          <w:rFonts w:ascii="Arial" w:hAnsi="Arial" w:cs="Arial"/>
          <w:i/>
          <w:iCs/>
          <w:sz w:val="22"/>
          <w:szCs w:val="22"/>
          <w:lang w:eastAsia="es-CO"/>
        </w:rPr>
        <w:t>“(…) </w:t>
      </w:r>
      <w:r w:rsidR="00BA55A6" w:rsidRPr="00DA1485">
        <w:rPr>
          <w:rFonts w:ascii="Arial" w:hAnsi="Arial" w:cs="Arial"/>
          <w:i/>
          <w:iCs/>
          <w:sz w:val="22"/>
          <w:szCs w:val="22"/>
          <w:shd w:val="clear" w:color="auto" w:fill="FFFFFF"/>
          <w:lang w:eastAsia="es-CO"/>
        </w:rPr>
        <w:t xml:space="preserve">cuando el único requisito faltante para acceder a la pensión de     vejez es el de edad, dado que se acredita el cumplimiento del número mínimo de semanas de cotización, puede considerarse que la persona en esta situación es beneficiaria del fuero de estabilidad laboral reforzada de </w:t>
      </w:r>
      <w:proofErr w:type="spellStart"/>
      <w:r w:rsidR="00BA55A6" w:rsidRPr="00DA1485">
        <w:rPr>
          <w:rFonts w:ascii="Arial" w:hAnsi="Arial" w:cs="Arial"/>
          <w:i/>
          <w:iCs/>
          <w:sz w:val="22"/>
          <w:szCs w:val="22"/>
          <w:shd w:val="clear" w:color="auto" w:fill="FFFFFF"/>
          <w:lang w:eastAsia="es-CO"/>
        </w:rPr>
        <w:t>prepensionable</w:t>
      </w:r>
      <w:proofErr w:type="spellEnd"/>
      <w:r w:rsidR="00BA55A6" w:rsidRPr="00DA1485">
        <w:rPr>
          <w:rFonts w:ascii="Arial" w:hAnsi="Arial" w:cs="Arial"/>
          <w:i/>
          <w:iCs/>
          <w:sz w:val="22"/>
          <w:szCs w:val="22"/>
          <w:shd w:val="clear" w:color="auto" w:fill="FFFFFF"/>
          <w:lang w:eastAsia="es-CO"/>
        </w:rPr>
        <w:t>”.</w:t>
      </w:r>
    </w:p>
    <w:p w14:paraId="318506F9" w14:textId="77777777" w:rsidR="00BA55A6" w:rsidRPr="00DA1485" w:rsidRDefault="00BA55A6" w:rsidP="00DA1485">
      <w:pPr>
        <w:shd w:val="clear" w:color="auto" w:fill="FFFFFF"/>
        <w:ind w:left="284" w:right="283"/>
        <w:jc w:val="both"/>
        <w:rPr>
          <w:rFonts w:ascii="Arial" w:hAnsi="Arial" w:cs="Arial"/>
          <w:i/>
          <w:sz w:val="22"/>
          <w:szCs w:val="22"/>
          <w:lang w:eastAsia="es-CO"/>
        </w:rPr>
      </w:pPr>
      <w:r w:rsidRPr="00DA1485">
        <w:rPr>
          <w:rFonts w:ascii="Arial" w:hAnsi="Arial" w:cs="Arial"/>
          <w:i/>
          <w:sz w:val="22"/>
          <w:szCs w:val="22"/>
          <w:lang w:eastAsia="es-CO"/>
        </w:rPr>
        <w:t> </w:t>
      </w:r>
    </w:p>
    <w:p w14:paraId="57695F30" w14:textId="7B560D24" w:rsidR="00BA55A6" w:rsidRPr="00DA1485" w:rsidRDefault="00BA55A6" w:rsidP="00DA1485">
      <w:pPr>
        <w:shd w:val="clear" w:color="auto" w:fill="FFFFFF"/>
        <w:ind w:left="284" w:right="283"/>
        <w:jc w:val="both"/>
        <w:rPr>
          <w:rFonts w:ascii="Arial" w:hAnsi="Arial" w:cs="Arial"/>
          <w:i/>
          <w:sz w:val="22"/>
          <w:szCs w:val="22"/>
          <w:lang w:eastAsia="es-CO"/>
        </w:rPr>
      </w:pPr>
      <w:r w:rsidRPr="00DA1485">
        <w:rPr>
          <w:rFonts w:ascii="Arial" w:hAnsi="Arial" w:cs="Arial"/>
          <w:i/>
          <w:sz w:val="22"/>
          <w:szCs w:val="22"/>
          <w:lang w:eastAsia="es-CO"/>
        </w:rPr>
        <w:t>Al abordar de manera directa la cuestión planteada, la Sala Plena consideró que, en tales eventos, la persona no podrá ser beneficiaria del fuero mencionado dado que (i) el requisito de la edad podrá cumplirlo de manera posterior, con o sin vinculación laboral vigente y, en consecuencia, (</w:t>
      </w:r>
      <w:proofErr w:type="spellStart"/>
      <w:r w:rsidRPr="00DA1485">
        <w:rPr>
          <w:rFonts w:ascii="Arial" w:hAnsi="Arial" w:cs="Arial"/>
          <w:i/>
          <w:sz w:val="22"/>
          <w:szCs w:val="22"/>
          <w:lang w:eastAsia="es-CO"/>
        </w:rPr>
        <w:t>ii</w:t>
      </w:r>
      <w:proofErr w:type="spellEnd"/>
      <w:r w:rsidRPr="00DA1485">
        <w:rPr>
          <w:rFonts w:ascii="Arial" w:hAnsi="Arial" w:cs="Arial"/>
          <w:i/>
          <w:sz w:val="22"/>
          <w:szCs w:val="22"/>
          <w:lang w:eastAsia="es-CO"/>
        </w:rPr>
        <w:t>) el empleador, con el despido, no está frustrando el acceso a la prestación de vejez (párrafo 59). Esta interpretación se fundó en que </w:t>
      </w:r>
      <w:r w:rsidRPr="00DA1485">
        <w:rPr>
          <w:rFonts w:ascii="Arial" w:hAnsi="Arial" w:cs="Arial"/>
          <w:i/>
          <w:iCs/>
          <w:sz w:val="22"/>
          <w:szCs w:val="22"/>
          <w:lang w:eastAsia="es-CO"/>
        </w:rPr>
        <w:t>“</w:t>
      </w:r>
      <w:r w:rsidRPr="00DA1485">
        <w:rPr>
          <w:rFonts w:ascii="Arial" w:hAnsi="Arial" w:cs="Arial"/>
          <w:i/>
          <w:iCs/>
          <w:sz w:val="22"/>
          <w:szCs w:val="22"/>
          <w:shd w:val="clear" w:color="auto" w:fill="FFFFFF"/>
          <w:lang w:eastAsia="es-CO"/>
        </w:rPr>
        <w:t>la “</w:t>
      </w:r>
      <w:proofErr w:type="spellStart"/>
      <w:r w:rsidRPr="00DA1485">
        <w:rPr>
          <w:rFonts w:ascii="Arial" w:hAnsi="Arial" w:cs="Arial"/>
          <w:i/>
          <w:iCs/>
          <w:sz w:val="22"/>
          <w:szCs w:val="22"/>
          <w:shd w:val="clear" w:color="auto" w:fill="FFFFFF"/>
          <w:lang w:eastAsia="es-CO"/>
        </w:rPr>
        <w:t>prepensión</w:t>
      </w:r>
      <w:proofErr w:type="spellEnd"/>
      <w:r w:rsidRPr="00DA1485">
        <w:rPr>
          <w:rFonts w:ascii="Arial" w:hAnsi="Arial" w:cs="Arial"/>
          <w:i/>
          <w:iCs/>
          <w:sz w:val="22"/>
          <w:szCs w:val="22"/>
          <w:shd w:val="clear" w:color="auto" w:fill="FFFFFF"/>
          <w:lang w:eastAsia="es-CO"/>
        </w:rPr>
        <w:t>” protege la expectativa del trabajador de obtener su pensión de vejez, ante su posible frustración como consecuencia de una pérdida intempestiva del empleo. Por tanto, ampara la estabilidad en el cargo y la continuidad en la cotización efectiva al Sistema General de Seguridad Social en Pensiones </w:t>
      </w:r>
      <w:r w:rsidRPr="00DA1485">
        <w:rPr>
          <w:rFonts w:ascii="Arial" w:hAnsi="Arial" w:cs="Arial"/>
          <w:i/>
          <w:sz w:val="22"/>
          <w:szCs w:val="22"/>
          <w:shd w:val="clear" w:color="auto" w:fill="FFFFFF"/>
          <w:lang w:eastAsia="es-CO"/>
        </w:rPr>
        <w:t>(…)</w:t>
      </w:r>
      <w:r w:rsidRPr="00DA1485">
        <w:rPr>
          <w:rFonts w:ascii="Arial" w:hAnsi="Arial" w:cs="Arial"/>
          <w:i/>
          <w:iCs/>
          <w:sz w:val="22"/>
          <w:szCs w:val="22"/>
          <w:shd w:val="clear" w:color="auto" w:fill="FFFFFF"/>
          <w:lang w:eastAsia="es-CO"/>
        </w:rPr>
        <w:t>” </w:t>
      </w:r>
      <w:r w:rsidRPr="00DA1485">
        <w:rPr>
          <w:rFonts w:ascii="Arial" w:hAnsi="Arial" w:cs="Arial"/>
          <w:i/>
          <w:sz w:val="22"/>
          <w:szCs w:val="22"/>
          <w:lang w:eastAsia="es-CO"/>
        </w:rPr>
        <w:t>(párrafo 62)</w:t>
      </w:r>
      <w:r w:rsidRPr="00DA1485">
        <w:rPr>
          <w:rFonts w:ascii="Arial" w:hAnsi="Arial" w:cs="Arial"/>
          <w:i/>
          <w:sz w:val="22"/>
          <w:szCs w:val="22"/>
          <w:shd w:val="clear" w:color="auto" w:fill="FFFFFF"/>
          <w:lang w:eastAsia="es-CO"/>
        </w:rPr>
        <w:t>.</w:t>
      </w:r>
      <w:r w:rsidR="00811AD8" w:rsidRPr="00DA1485">
        <w:rPr>
          <w:rFonts w:ascii="Arial" w:hAnsi="Arial" w:cs="Arial"/>
          <w:i/>
          <w:sz w:val="22"/>
          <w:szCs w:val="22"/>
          <w:shd w:val="clear" w:color="auto" w:fill="FFFFFF"/>
          <w:lang w:eastAsia="es-CO"/>
        </w:rPr>
        <w:t>”</w:t>
      </w:r>
    </w:p>
    <w:p w14:paraId="0075A163" w14:textId="77777777" w:rsidR="00BA55A6" w:rsidRPr="00DA1485" w:rsidRDefault="00BA55A6" w:rsidP="00DA1485">
      <w:pPr>
        <w:shd w:val="clear" w:color="auto" w:fill="FFFFFF"/>
        <w:ind w:left="426" w:right="283"/>
        <w:jc w:val="both"/>
        <w:rPr>
          <w:rFonts w:ascii="Arial" w:hAnsi="Arial" w:cs="Arial"/>
          <w:i/>
          <w:sz w:val="22"/>
          <w:szCs w:val="22"/>
          <w:lang w:eastAsia="es-CO"/>
        </w:rPr>
      </w:pPr>
      <w:r w:rsidRPr="00DA1485">
        <w:rPr>
          <w:rFonts w:ascii="Arial" w:hAnsi="Arial" w:cs="Arial"/>
          <w:i/>
          <w:sz w:val="22"/>
          <w:szCs w:val="22"/>
          <w:shd w:val="clear" w:color="auto" w:fill="FFFFFF"/>
          <w:lang w:eastAsia="es-CO"/>
        </w:rPr>
        <w:t> </w:t>
      </w:r>
    </w:p>
    <w:p w14:paraId="60BC533B" w14:textId="4274D90C" w:rsidR="00D730C1" w:rsidRPr="00DA1485" w:rsidRDefault="00154737" w:rsidP="00DA1485">
      <w:pPr>
        <w:jc w:val="both"/>
        <w:rPr>
          <w:rFonts w:ascii="Arial" w:hAnsi="Arial" w:cs="Arial"/>
          <w:sz w:val="24"/>
          <w:szCs w:val="24"/>
          <w:lang w:eastAsia="es-CO"/>
        </w:rPr>
      </w:pPr>
      <w:r w:rsidRPr="00DA1485">
        <w:rPr>
          <w:rFonts w:ascii="Arial" w:hAnsi="Arial" w:cs="Arial"/>
          <w:sz w:val="24"/>
          <w:szCs w:val="24"/>
          <w:lang w:eastAsia="es-CO"/>
        </w:rPr>
        <w:t>Igualmente</w:t>
      </w:r>
      <w:r w:rsidR="00C238B6" w:rsidRPr="00DA1485">
        <w:rPr>
          <w:rFonts w:ascii="Arial" w:hAnsi="Arial" w:cs="Arial"/>
          <w:sz w:val="24"/>
          <w:szCs w:val="24"/>
          <w:lang w:eastAsia="es-CO"/>
        </w:rPr>
        <w:t xml:space="preserve">, la </w:t>
      </w:r>
      <w:r w:rsidR="006A7417" w:rsidRPr="00DA1485">
        <w:rPr>
          <w:rFonts w:ascii="Arial" w:hAnsi="Arial" w:cs="Arial"/>
          <w:sz w:val="24"/>
          <w:szCs w:val="24"/>
          <w:lang w:eastAsia="es-CO"/>
        </w:rPr>
        <w:t>Corte Constitucional en la Sentencia T-385 de 2020</w:t>
      </w:r>
      <w:r w:rsidR="006A7417" w:rsidRPr="00DA1485">
        <w:rPr>
          <w:rStyle w:val="Refdenotaalpie"/>
          <w:rFonts w:ascii="Arial" w:hAnsi="Arial" w:cs="Arial"/>
          <w:sz w:val="24"/>
          <w:szCs w:val="24"/>
          <w:lang w:eastAsia="es-CO"/>
        </w:rPr>
        <w:footnoteReference w:id="3"/>
      </w:r>
      <w:r w:rsidR="00D730C1" w:rsidRPr="00DA1485">
        <w:rPr>
          <w:rFonts w:ascii="Arial" w:hAnsi="Arial" w:cs="Arial"/>
          <w:sz w:val="24"/>
          <w:szCs w:val="24"/>
          <w:lang w:eastAsia="es-CO"/>
        </w:rPr>
        <w:t xml:space="preserve"> </w:t>
      </w:r>
      <w:r w:rsidR="00B50553">
        <w:rPr>
          <w:rFonts w:ascii="Arial" w:hAnsi="Arial" w:cs="Arial"/>
          <w:sz w:val="24"/>
          <w:szCs w:val="24"/>
          <w:lang w:eastAsia="es-CO"/>
        </w:rPr>
        <w:t>reitera</w:t>
      </w:r>
      <w:r w:rsidR="00B50553" w:rsidRPr="00DA1485">
        <w:rPr>
          <w:rFonts w:ascii="Arial" w:hAnsi="Arial" w:cs="Arial"/>
          <w:sz w:val="24"/>
          <w:szCs w:val="24"/>
          <w:lang w:eastAsia="es-CO"/>
        </w:rPr>
        <w:t xml:space="preserve"> </w:t>
      </w:r>
      <w:r w:rsidR="00D730C1" w:rsidRPr="00DA1485">
        <w:rPr>
          <w:rFonts w:ascii="Arial" w:hAnsi="Arial" w:cs="Arial"/>
          <w:sz w:val="24"/>
          <w:szCs w:val="24"/>
          <w:lang w:eastAsia="es-CO"/>
        </w:rPr>
        <w:t xml:space="preserve">que </w:t>
      </w:r>
      <w:r w:rsidR="008050C6" w:rsidRPr="00DA1485">
        <w:rPr>
          <w:rFonts w:ascii="Arial" w:hAnsi="Arial" w:cs="Arial"/>
          <w:sz w:val="24"/>
          <w:szCs w:val="24"/>
          <w:lang w:eastAsia="es-CO"/>
        </w:rPr>
        <w:t xml:space="preserve">esta regla general de unificación de estabilidad reforzada de pre pensionable es aplicable a los trabajadores del sector privado, como al oficial. </w:t>
      </w:r>
    </w:p>
    <w:p w14:paraId="15C45733" w14:textId="77777777" w:rsidR="00D730C1" w:rsidRPr="00DA1485" w:rsidRDefault="00D730C1" w:rsidP="00DA1485">
      <w:pPr>
        <w:jc w:val="both"/>
        <w:rPr>
          <w:rFonts w:ascii="Arial" w:hAnsi="Arial" w:cs="Arial"/>
          <w:sz w:val="24"/>
          <w:szCs w:val="24"/>
          <w:lang w:eastAsia="es-CO"/>
        </w:rPr>
      </w:pPr>
    </w:p>
    <w:p w14:paraId="321462F2" w14:textId="77777777" w:rsidR="000F02B8" w:rsidRPr="00DA1485" w:rsidRDefault="000F02B8" w:rsidP="00DA1485">
      <w:pPr>
        <w:ind w:left="284" w:right="283"/>
        <w:jc w:val="both"/>
        <w:rPr>
          <w:rFonts w:ascii="Arial" w:hAnsi="Arial" w:cs="Arial"/>
          <w:i/>
          <w:sz w:val="22"/>
          <w:szCs w:val="22"/>
        </w:rPr>
      </w:pPr>
      <w:r w:rsidRPr="00DA1485">
        <w:rPr>
          <w:rFonts w:ascii="Arial" w:hAnsi="Arial" w:cs="Arial"/>
          <w:i/>
          <w:sz w:val="22"/>
          <w:szCs w:val="22"/>
        </w:rPr>
        <w:t xml:space="preserve">“10. Es importante aclarar que la estabilidad laboral reforzada por fuero de </w:t>
      </w:r>
      <w:proofErr w:type="gramStart"/>
      <w:r w:rsidRPr="00DA1485">
        <w:rPr>
          <w:rFonts w:ascii="Arial" w:hAnsi="Arial" w:cs="Arial"/>
          <w:i/>
          <w:sz w:val="22"/>
          <w:szCs w:val="22"/>
        </w:rPr>
        <w:t>pre pensión</w:t>
      </w:r>
      <w:proofErr w:type="gramEnd"/>
      <w:r w:rsidRPr="00DA1485">
        <w:rPr>
          <w:rFonts w:ascii="Arial" w:hAnsi="Arial" w:cs="Arial"/>
          <w:i/>
          <w:sz w:val="22"/>
          <w:szCs w:val="22"/>
        </w:rPr>
        <w:t xml:space="preserve"> solo aplica en los casos en que sea necesario mantener el vínculo laboral del trabajador, para que este pueda completar las semanas de cotización requeridas en el Régimen de </w:t>
      </w:r>
      <w:r w:rsidRPr="00DA1485">
        <w:rPr>
          <w:rFonts w:ascii="Arial" w:hAnsi="Arial" w:cs="Arial"/>
          <w:i/>
          <w:sz w:val="22"/>
          <w:szCs w:val="22"/>
        </w:rPr>
        <w:lastRenderedPageBreak/>
        <w:t>Prima Media, comoquiera que cuando le falten tres o menos años de cotización se vea amenazada o frustrada la expectativa legítima de acceder a la pensión de jubilación. Así cualquier aplicación de la figura por fuera del escenario fáctico referido desborda y desnaturaliza la garantía constitucional de la misma. Por ejemplo, la Sentencia SU-003 estableció que </w:t>
      </w:r>
      <w:r w:rsidRPr="00DA1485">
        <w:rPr>
          <w:rFonts w:ascii="Arial" w:hAnsi="Arial" w:cs="Arial"/>
          <w:i/>
          <w:iCs/>
          <w:sz w:val="22"/>
          <w:szCs w:val="22"/>
        </w:rPr>
        <w:t>“cuando el único requisito faltante para acceder a la pensión de vejez es el de la edad, dado que se acredita el cumplimiento del número mínimo de semanas de cotización, en caso de desvinculación, no se frustra el acceso a la pensión de vejez, de allí que no haya lugar a considerar que la persona sea beneficiaria del fuero de estabilidad laboral reforzada de pre pensionable, dado que el requisito faltante, relativo a la edad, puede ser cumplido de manera posterior, con o sin vinculación laboral vigente”</w:t>
      </w:r>
      <w:bookmarkStart w:id="0" w:name="_ftnref21"/>
      <w:r w:rsidRPr="00DA1485">
        <w:rPr>
          <w:rFonts w:ascii="Arial" w:hAnsi="Arial" w:cs="Arial"/>
          <w:i/>
          <w:iCs/>
          <w:sz w:val="22"/>
          <w:szCs w:val="22"/>
        </w:rPr>
        <w:fldChar w:fldCharType="begin"/>
      </w:r>
      <w:r w:rsidRPr="00DA1485">
        <w:rPr>
          <w:rFonts w:ascii="Arial" w:hAnsi="Arial" w:cs="Arial"/>
          <w:i/>
          <w:iCs/>
          <w:sz w:val="22"/>
          <w:szCs w:val="22"/>
        </w:rPr>
        <w:instrText xml:space="preserve"> HYPERLINK "https://www.corteconstitucional.gov.co/Relatoria/2020/T-385-20.htm" \l "_ftn21" \o "" </w:instrText>
      </w:r>
      <w:r w:rsidRPr="00DA1485">
        <w:rPr>
          <w:rFonts w:ascii="Arial" w:hAnsi="Arial" w:cs="Arial"/>
          <w:i/>
          <w:iCs/>
          <w:sz w:val="22"/>
          <w:szCs w:val="22"/>
        </w:rPr>
        <w:fldChar w:fldCharType="separate"/>
      </w:r>
      <w:r w:rsidRPr="00DA1485">
        <w:rPr>
          <w:rStyle w:val="Hipervnculo"/>
          <w:rFonts w:ascii="Arial" w:hAnsi="Arial" w:cs="Arial"/>
          <w:i/>
          <w:iCs/>
          <w:color w:val="auto"/>
          <w:sz w:val="22"/>
          <w:szCs w:val="22"/>
          <w:vertAlign w:val="superscript"/>
        </w:rPr>
        <w:t>[21]</w:t>
      </w:r>
      <w:r w:rsidRPr="00DA1485">
        <w:rPr>
          <w:rFonts w:ascii="Arial" w:hAnsi="Arial" w:cs="Arial"/>
          <w:i/>
          <w:iCs/>
          <w:sz w:val="22"/>
          <w:szCs w:val="22"/>
        </w:rPr>
        <w:fldChar w:fldCharType="end"/>
      </w:r>
      <w:bookmarkEnd w:id="0"/>
      <w:r w:rsidRPr="00DA1485">
        <w:rPr>
          <w:rFonts w:ascii="Arial" w:hAnsi="Arial" w:cs="Arial"/>
          <w:i/>
          <w:sz w:val="22"/>
          <w:szCs w:val="22"/>
        </w:rPr>
        <w:t xml:space="preserve">. Asimismo, cuando el actor no cuenta con la edad y le faltan más de tres años de cotización para completar las 1.300 semanas que exige el Régimen de Prima Media no procede la aplicación de la protección a la estabilidad en el empleo. Por otro lado, cabe resaltar que el alcance de la protección difiere para los trabajadores afiliados en el RAIS, puesto que el reconocimiento de la prestación no está sujeta a cumplir una edad determinada ni a completar un número de semanas, sino al ahorro de un capital determinado para financiar la satisfacción, según los términos suscritos entre el trabajador y la Administradora de Fondo de Pensiones.   </w:t>
      </w:r>
    </w:p>
    <w:p w14:paraId="5324AB3D" w14:textId="000434CB" w:rsidR="000F02B8" w:rsidRPr="00DA1485" w:rsidRDefault="000F02B8" w:rsidP="00DA1485">
      <w:pPr>
        <w:ind w:left="426" w:right="283"/>
        <w:jc w:val="both"/>
        <w:rPr>
          <w:rFonts w:ascii="Arial" w:hAnsi="Arial" w:cs="Arial"/>
          <w:i/>
          <w:sz w:val="22"/>
          <w:szCs w:val="22"/>
        </w:rPr>
      </w:pPr>
    </w:p>
    <w:p w14:paraId="40CA2E62" w14:textId="5666C38D" w:rsidR="000F02B8" w:rsidRPr="00DA1485" w:rsidRDefault="00B27E5C" w:rsidP="00DA1485">
      <w:pPr>
        <w:shd w:val="clear" w:color="auto" w:fill="FFFFFF"/>
        <w:ind w:left="426" w:right="283"/>
        <w:jc w:val="both"/>
        <w:rPr>
          <w:rFonts w:ascii="Arial" w:hAnsi="Arial" w:cs="Arial"/>
          <w:i/>
          <w:sz w:val="22"/>
          <w:szCs w:val="22"/>
          <w:lang w:eastAsia="es-CO"/>
        </w:rPr>
      </w:pPr>
      <w:r w:rsidRPr="00DA1485">
        <w:rPr>
          <w:rFonts w:ascii="Arial" w:hAnsi="Arial" w:cs="Arial"/>
          <w:i/>
          <w:sz w:val="22"/>
          <w:szCs w:val="22"/>
          <w:lang w:eastAsia="es-CO"/>
        </w:rPr>
        <w:t xml:space="preserve">(…) </w:t>
      </w:r>
      <w:r w:rsidR="000F02B8" w:rsidRPr="00DA1485">
        <w:rPr>
          <w:rFonts w:ascii="Arial" w:hAnsi="Arial" w:cs="Arial"/>
          <w:i/>
          <w:sz w:val="22"/>
          <w:szCs w:val="22"/>
          <w:lang w:eastAsia="es-CO"/>
        </w:rPr>
        <w:t>12. En síntesis, la Corte Constitucional ha establecido que procede la protección a la estabilidad laboral reforzada de aquellos empleados públicos y privados, que acreditan la calidad de pre pensionados, por faltarles menos de tres años para contar con 57 años en el caso de las mujeres y 62 años en el caso de los hombres, y cotizar 1.300 semanas al Sistema de Seguridad Social en Pensiones, siempre que su despido afecte su derecho al mínimo vital, porque el salario que devengaban era su único ingreso.”   </w:t>
      </w:r>
    </w:p>
    <w:p w14:paraId="55CCEFB2" w14:textId="77777777" w:rsidR="000F02B8" w:rsidRPr="00DA1485" w:rsidRDefault="000F02B8" w:rsidP="00DA1485">
      <w:pPr>
        <w:ind w:left="426" w:right="283"/>
        <w:jc w:val="both"/>
        <w:rPr>
          <w:rFonts w:ascii="Arial" w:hAnsi="Arial" w:cs="Arial"/>
          <w:sz w:val="24"/>
          <w:szCs w:val="24"/>
          <w:lang w:eastAsia="es-CO"/>
        </w:rPr>
      </w:pPr>
    </w:p>
    <w:p w14:paraId="6AA9B66D" w14:textId="77777777" w:rsidR="00755972" w:rsidRPr="00DA1485" w:rsidRDefault="00755972" w:rsidP="00DA1485">
      <w:pPr>
        <w:jc w:val="both"/>
        <w:rPr>
          <w:rFonts w:ascii="Arial" w:hAnsi="Arial" w:cs="Arial"/>
          <w:b/>
          <w:bCs/>
          <w:sz w:val="24"/>
          <w:szCs w:val="24"/>
        </w:rPr>
      </w:pPr>
    </w:p>
    <w:p w14:paraId="543A4090" w14:textId="77777777" w:rsidR="00460EA1" w:rsidRPr="00DA1485" w:rsidRDefault="00460EA1" w:rsidP="00DA1485">
      <w:pPr>
        <w:jc w:val="both"/>
        <w:rPr>
          <w:rFonts w:ascii="Arial" w:hAnsi="Arial" w:cs="Arial"/>
          <w:b/>
          <w:bCs/>
          <w:sz w:val="24"/>
          <w:szCs w:val="24"/>
        </w:rPr>
      </w:pPr>
      <w:r w:rsidRPr="00DA1485">
        <w:rPr>
          <w:rFonts w:ascii="Arial" w:hAnsi="Arial" w:cs="Arial"/>
          <w:b/>
          <w:bCs/>
          <w:sz w:val="24"/>
          <w:szCs w:val="24"/>
        </w:rPr>
        <w:t>CONCLUSIONES</w:t>
      </w:r>
    </w:p>
    <w:p w14:paraId="59CBA53C" w14:textId="77777777" w:rsidR="00460EA1" w:rsidRPr="00DA1485" w:rsidRDefault="00460EA1" w:rsidP="00DA1485">
      <w:pPr>
        <w:jc w:val="both"/>
        <w:rPr>
          <w:rFonts w:ascii="Arial" w:hAnsi="Arial" w:cs="Arial"/>
          <w:sz w:val="24"/>
          <w:szCs w:val="24"/>
        </w:rPr>
      </w:pPr>
      <w:r w:rsidRPr="00DA1485">
        <w:rPr>
          <w:rFonts w:ascii="Arial" w:hAnsi="Arial" w:cs="Arial"/>
          <w:sz w:val="24"/>
          <w:szCs w:val="24"/>
        </w:rPr>
        <w:t xml:space="preserve"> </w:t>
      </w:r>
    </w:p>
    <w:p w14:paraId="748ECF3A" w14:textId="50F95024" w:rsidR="00460EA1" w:rsidRPr="00DA1485" w:rsidRDefault="00460EA1" w:rsidP="00DA1485">
      <w:pPr>
        <w:jc w:val="both"/>
        <w:rPr>
          <w:rFonts w:ascii="Arial" w:hAnsi="Arial" w:cs="Arial"/>
          <w:sz w:val="24"/>
          <w:szCs w:val="24"/>
        </w:rPr>
      </w:pPr>
      <w:r w:rsidRPr="00DA1485">
        <w:rPr>
          <w:rFonts w:ascii="Arial" w:hAnsi="Arial" w:cs="Arial"/>
          <w:sz w:val="24"/>
          <w:szCs w:val="24"/>
        </w:rPr>
        <w:t>De conformidad con lo expuesto</w:t>
      </w:r>
      <w:r w:rsidR="00B50553">
        <w:rPr>
          <w:rFonts w:ascii="Arial" w:hAnsi="Arial" w:cs="Arial"/>
          <w:sz w:val="24"/>
          <w:szCs w:val="24"/>
        </w:rPr>
        <w:t xml:space="preserve">, se </w:t>
      </w:r>
      <w:r w:rsidR="00B50553" w:rsidRPr="00DA1485">
        <w:rPr>
          <w:rFonts w:ascii="Arial" w:hAnsi="Arial" w:cs="Arial"/>
          <w:sz w:val="24"/>
          <w:szCs w:val="24"/>
        </w:rPr>
        <w:t>proced</w:t>
      </w:r>
      <w:r w:rsidR="00B50553">
        <w:rPr>
          <w:rFonts w:ascii="Arial" w:hAnsi="Arial" w:cs="Arial"/>
          <w:sz w:val="24"/>
          <w:szCs w:val="24"/>
        </w:rPr>
        <w:t>e</w:t>
      </w:r>
      <w:r w:rsidR="00B50553" w:rsidRPr="00DA1485">
        <w:rPr>
          <w:rFonts w:ascii="Arial" w:hAnsi="Arial" w:cs="Arial"/>
          <w:sz w:val="24"/>
          <w:szCs w:val="24"/>
        </w:rPr>
        <w:t xml:space="preserve"> </w:t>
      </w:r>
      <w:r w:rsidRPr="00DA1485">
        <w:rPr>
          <w:rFonts w:ascii="Arial" w:hAnsi="Arial" w:cs="Arial"/>
          <w:sz w:val="24"/>
          <w:szCs w:val="24"/>
        </w:rPr>
        <w:t>a dar respuesta a</w:t>
      </w:r>
      <w:r w:rsidR="00247DA0" w:rsidRPr="00DA1485">
        <w:rPr>
          <w:rFonts w:ascii="Arial" w:hAnsi="Arial" w:cs="Arial"/>
          <w:sz w:val="24"/>
          <w:szCs w:val="24"/>
        </w:rPr>
        <w:t>l</w:t>
      </w:r>
      <w:r w:rsidRPr="00DA1485">
        <w:rPr>
          <w:rFonts w:ascii="Arial" w:hAnsi="Arial" w:cs="Arial"/>
          <w:sz w:val="24"/>
          <w:szCs w:val="24"/>
        </w:rPr>
        <w:t xml:space="preserve"> interrogante</w:t>
      </w:r>
      <w:r w:rsidR="00B50553">
        <w:rPr>
          <w:rFonts w:ascii="Arial" w:hAnsi="Arial" w:cs="Arial"/>
          <w:sz w:val="24"/>
          <w:szCs w:val="24"/>
        </w:rPr>
        <w:t>:</w:t>
      </w:r>
    </w:p>
    <w:p w14:paraId="34A648FC" w14:textId="77777777" w:rsidR="005F66E2" w:rsidRPr="00DA1485" w:rsidRDefault="005F66E2" w:rsidP="00DA1485">
      <w:pPr>
        <w:jc w:val="both"/>
        <w:rPr>
          <w:rFonts w:ascii="Arial" w:hAnsi="Arial" w:cs="Arial"/>
          <w:sz w:val="24"/>
          <w:szCs w:val="24"/>
        </w:rPr>
      </w:pPr>
    </w:p>
    <w:p w14:paraId="52559F44" w14:textId="5F809747" w:rsidR="00FD6B1B" w:rsidRPr="00DA1485" w:rsidRDefault="00FD6B1B" w:rsidP="00DA1485">
      <w:pPr>
        <w:jc w:val="both"/>
        <w:rPr>
          <w:rFonts w:ascii="Arial" w:hAnsi="Arial" w:cs="Arial"/>
          <w:bCs/>
          <w:i/>
          <w:sz w:val="24"/>
          <w:szCs w:val="24"/>
        </w:rPr>
      </w:pPr>
      <w:r w:rsidRPr="00DA1485">
        <w:rPr>
          <w:rFonts w:ascii="Arial" w:hAnsi="Arial" w:cs="Arial"/>
          <w:bCs/>
          <w:i/>
          <w:sz w:val="24"/>
          <w:szCs w:val="24"/>
        </w:rPr>
        <w:t>¿El alcance del concepto jurisprudencial contenido en la Sentencia SU-003 de 2018, que señala “(…)</w:t>
      </w:r>
      <w:r w:rsidR="00B50553">
        <w:rPr>
          <w:rFonts w:ascii="Arial" w:hAnsi="Arial" w:cs="Arial"/>
          <w:bCs/>
          <w:i/>
          <w:sz w:val="24"/>
          <w:szCs w:val="24"/>
        </w:rPr>
        <w:t xml:space="preserve"> </w:t>
      </w:r>
      <w:r w:rsidRPr="00DA1485">
        <w:rPr>
          <w:rFonts w:ascii="Arial" w:hAnsi="Arial" w:cs="Arial"/>
          <w:i/>
          <w:sz w:val="24"/>
          <w:szCs w:val="24"/>
          <w:lang w:eastAsia="es-CO"/>
        </w:rPr>
        <w:t xml:space="preserve">cuando el único requisito faltante para acceder a la pensión de vejez es el de edad, dado que se acredita el cumplimiento del número mínimo de semanas de cotización, en caso de desvinculación, no se frustra el acceso a la pensión de vejez, de allí que no haya lugar a considerar que la persona sea beneficiaria del fuero de estabilidad laboral reforzada de </w:t>
      </w:r>
      <w:proofErr w:type="spellStart"/>
      <w:r w:rsidRPr="00DA1485">
        <w:rPr>
          <w:rFonts w:ascii="Arial" w:hAnsi="Arial" w:cs="Arial"/>
          <w:i/>
          <w:sz w:val="24"/>
          <w:szCs w:val="24"/>
          <w:lang w:eastAsia="es-CO"/>
        </w:rPr>
        <w:t>prepensionable</w:t>
      </w:r>
      <w:proofErr w:type="spellEnd"/>
      <w:r w:rsidRPr="00DA1485">
        <w:rPr>
          <w:rFonts w:ascii="Arial" w:hAnsi="Arial" w:cs="Arial"/>
          <w:i/>
          <w:sz w:val="24"/>
          <w:szCs w:val="24"/>
          <w:lang w:eastAsia="es-CO"/>
        </w:rPr>
        <w:t xml:space="preserve"> (…)”, ¿es aplicable a los servidores vinculados en provisionalidad</w:t>
      </w:r>
      <w:r w:rsidRPr="00DA1485">
        <w:rPr>
          <w:rFonts w:ascii="Arial" w:hAnsi="Arial" w:cs="Arial"/>
          <w:bCs/>
          <w:i/>
          <w:sz w:val="24"/>
          <w:szCs w:val="24"/>
        </w:rPr>
        <w:t>?</w:t>
      </w:r>
    </w:p>
    <w:p w14:paraId="25B0DB82" w14:textId="77777777" w:rsidR="00460EA1" w:rsidRPr="00DA1485" w:rsidRDefault="00460EA1" w:rsidP="00DA1485">
      <w:pPr>
        <w:jc w:val="both"/>
        <w:rPr>
          <w:rFonts w:ascii="Arial" w:hAnsi="Arial" w:cs="Arial"/>
          <w:sz w:val="24"/>
          <w:szCs w:val="24"/>
        </w:rPr>
      </w:pPr>
    </w:p>
    <w:p w14:paraId="39CBC287" w14:textId="0F94FA9B" w:rsidR="00FD6B1B" w:rsidRPr="00DA1485" w:rsidRDefault="00F81FF4" w:rsidP="00DA1485">
      <w:pPr>
        <w:jc w:val="both"/>
        <w:rPr>
          <w:rFonts w:ascii="Arial" w:hAnsi="Arial" w:cs="Arial"/>
          <w:sz w:val="24"/>
          <w:szCs w:val="24"/>
        </w:rPr>
      </w:pPr>
      <w:r w:rsidRPr="00DA1485">
        <w:rPr>
          <w:rFonts w:ascii="Arial" w:hAnsi="Arial" w:cs="Arial"/>
          <w:sz w:val="24"/>
          <w:szCs w:val="24"/>
        </w:rPr>
        <w:t>Lo establecido en d</w:t>
      </w:r>
      <w:r w:rsidR="00FD6B1B" w:rsidRPr="00DA1485">
        <w:rPr>
          <w:rFonts w:ascii="Arial" w:hAnsi="Arial" w:cs="Arial"/>
          <w:sz w:val="24"/>
          <w:szCs w:val="24"/>
        </w:rPr>
        <w:t>icha sentencia de unificación</w:t>
      </w:r>
      <w:r w:rsidRPr="00DA1485">
        <w:rPr>
          <w:rFonts w:ascii="Arial" w:hAnsi="Arial" w:cs="Arial"/>
          <w:sz w:val="24"/>
          <w:szCs w:val="24"/>
        </w:rPr>
        <w:t>,</w:t>
      </w:r>
      <w:r w:rsidR="00B50553">
        <w:rPr>
          <w:rFonts w:ascii="Arial" w:hAnsi="Arial" w:cs="Arial"/>
          <w:sz w:val="24"/>
          <w:szCs w:val="24"/>
        </w:rPr>
        <w:t xml:space="preserve"> y en las siguientes que lo reiteran, </w:t>
      </w:r>
      <w:r w:rsidRPr="00DA1485">
        <w:rPr>
          <w:rFonts w:ascii="Arial" w:hAnsi="Arial" w:cs="Arial"/>
          <w:sz w:val="24"/>
          <w:szCs w:val="24"/>
        </w:rPr>
        <w:t xml:space="preserve"> </w:t>
      </w:r>
      <w:r w:rsidR="00B50553">
        <w:rPr>
          <w:rFonts w:ascii="Arial" w:hAnsi="Arial" w:cs="Arial"/>
          <w:sz w:val="24"/>
          <w:szCs w:val="24"/>
        </w:rPr>
        <w:t xml:space="preserve">establecen </w:t>
      </w:r>
      <w:r w:rsidRPr="00DA1485">
        <w:rPr>
          <w:rFonts w:ascii="Arial" w:hAnsi="Arial" w:cs="Arial"/>
          <w:sz w:val="24"/>
          <w:szCs w:val="24"/>
        </w:rPr>
        <w:t xml:space="preserve">que </w:t>
      </w:r>
      <w:r w:rsidRPr="00DA1485">
        <w:rPr>
          <w:rFonts w:ascii="Arial" w:hAnsi="Arial" w:cs="Arial"/>
          <w:sz w:val="24"/>
          <w:szCs w:val="24"/>
          <w:lang w:eastAsia="es-CO"/>
        </w:rPr>
        <w:t xml:space="preserve">cuando el único requisito faltante para acceder a la pensión de vejez es el de </w:t>
      </w:r>
      <w:r w:rsidR="00B50553">
        <w:rPr>
          <w:rFonts w:ascii="Arial" w:hAnsi="Arial" w:cs="Arial"/>
          <w:sz w:val="24"/>
          <w:szCs w:val="24"/>
          <w:lang w:eastAsia="es-CO"/>
        </w:rPr>
        <w:t xml:space="preserve">la </w:t>
      </w:r>
      <w:r w:rsidRPr="00DA1485">
        <w:rPr>
          <w:rFonts w:ascii="Arial" w:hAnsi="Arial" w:cs="Arial"/>
          <w:sz w:val="24"/>
          <w:szCs w:val="24"/>
          <w:lang w:eastAsia="es-CO"/>
        </w:rPr>
        <w:t>edad, dado que se acredita el cumplimiento del número mínimo de semanas de cotización para acceder a la pensión,</w:t>
      </w:r>
      <w:r w:rsidRPr="00DA1485">
        <w:rPr>
          <w:rFonts w:ascii="Arial" w:hAnsi="Arial" w:cs="Arial"/>
          <w:sz w:val="24"/>
          <w:szCs w:val="24"/>
        </w:rPr>
        <w:t xml:space="preserve"> no hay lugar a fuero de estabilidad laboral reforzada,</w:t>
      </w:r>
      <w:r w:rsidR="005D0BC3">
        <w:rPr>
          <w:rFonts w:ascii="Arial" w:hAnsi="Arial" w:cs="Arial"/>
          <w:sz w:val="24"/>
          <w:szCs w:val="24"/>
        </w:rPr>
        <w:t xml:space="preserve"> puesto que incluso sin vinculación laboral</w:t>
      </w:r>
      <w:r w:rsidRPr="00DA1485">
        <w:rPr>
          <w:rFonts w:ascii="Arial" w:hAnsi="Arial" w:cs="Arial"/>
          <w:sz w:val="24"/>
          <w:szCs w:val="24"/>
        </w:rPr>
        <w:t xml:space="preserve"> </w:t>
      </w:r>
      <w:r w:rsidR="005D0BC3">
        <w:rPr>
          <w:rFonts w:ascii="Arial" w:hAnsi="Arial" w:cs="Arial"/>
          <w:sz w:val="24"/>
          <w:szCs w:val="24"/>
        </w:rPr>
        <w:t xml:space="preserve">no se estaría poniendo en riesgo </w:t>
      </w:r>
      <w:r w:rsidR="005D0BC3">
        <w:rPr>
          <w:rFonts w:ascii="Arial" w:hAnsi="Arial" w:cs="Arial"/>
          <w:sz w:val="24"/>
          <w:szCs w:val="24"/>
        </w:rPr>
        <w:lastRenderedPageBreak/>
        <w:t xml:space="preserve">el derecho a la pensión de la persona, situación que es igualmente aplicable </w:t>
      </w:r>
      <w:r w:rsidR="00FD6B1B" w:rsidRPr="00DA1485">
        <w:rPr>
          <w:rFonts w:ascii="Arial" w:hAnsi="Arial" w:cs="Arial"/>
          <w:sz w:val="24"/>
          <w:szCs w:val="24"/>
        </w:rPr>
        <w:t xml:space="preserve">a los servidores públicos vinculados en provisionalidad, </w:t>
      </w:r>
      <w:r w:rsidR="005D0BC3">
        <w:rPr>
          <w:rFonts w:ascii="Arial" w:hAnsi="Arial" w:cs="Arial"/>
          <w:sz w:val="24"/>
          <w:szCs w:val="24"/>
        </w:rPr>
        <w:t>conforme a</w:t>
      </w:r>
      <w:r w:rsidR="005D0BC3" w:rsidRPr="00DA1485">
        <w:rPr>
          <w:rFonts w:ascii="Arial" w:hAnsi="Arial" w:cs="Arial"/>
          <w:sz w:val="24"/>
          <w:szCs w:val="24"/>
        </w:rPr>
        <w:t xml:space="preserve"> </w:t>
      </w:r>
      <w:r w:rsidR="00FD6B1B" w:rsidRPr="00DA1485">
        <w:rPr>
          <w:rFonts w:ascii="Arial" w:hAnsi="Arial" w:cs="Arial"/>
          <w:sz w:val="24"/>
          <w:szCs w:val="24"/>
        </w:rPr>
        <w:t>lo expuesto en los considerandos del presente concepto.</w:t>
      </w:r>
    </w:p>
    <w:p w14:paraId="62BC4F85" w14:textId="77777777" w:rsidR="00FD6B1B" w:rsidRPr="00DA1485" w:rsidRDefault="00FD6B1B" w:rsidP="00DA1485">
      <w:pPr>
        <w:jc w:val="both"/>
        <w:rPr>
          <w:rFonts w:ascii="Arial" w:hAnsi="Arial" w:cs="Arial"/>
          <w:sz w:val="24"/>
          <w:szCs w:val="24"/>
        </w:rPr>
      </w:pPr>
    </w:p>
    <w:p w14:paraId="46EB2D10" w14:textId="0BB3CAE7" w:rsidR="00460EA1" w:rsidRPr="00DA1485" w:rsidRDefault="00460EA1" w:rsidP="00DA1485">
      <w:pPr>
        <w:tabs>
          <w:tab w:val="left" w:pos="0"/>
        </w:tabs>
        <w:jc w:val="both"/>
        <w:rPr>
          <w:rFonts w:ascii="Arial" w:hAnsi="Arial" w:cs="Arial"/>
          <w:sz w:val="24"/>
          <w:szCs w:val="24"/>
        </w:rPr>
      </w:pPr>
      <w:r w:rsidRPr="00DA1485">
        <w:rPr>
          <w:rFonts w:ascii="Arial" w:hAnsi="Arial" w:cs="Arial"/>
          <w:sz w:val="24"/>
          <w:szCs w:val="24"/>
        </w:rPr>
        <w:t>En procura de impulsar la política de mejoramiento continuo en el procedimiento de Asesoría Jurídica dentro de la Secretaría Distrital de Hacienda, solicito verifique si el concepto emitido contribuyó a resolver de fondo el problema jurídico planteado. De no ser así, por favor inform</w:t>
      </w:r>
      <w:r w:rsidR="005D0BC3">
        <w:rPr>
          <w:rFonts w:ascii="Arial" w:hAnsi="Arial" w:cs="Arial"/>
          <w:sz w:val="24"/>
          <w:szCs w:val="24"/>
        </w:rPr>
        <w:t xml:space="preserve">ar </w:t>
      </w:r>
      <w:r w:rsidRPr="00DA1485">
        <w:rPr>
          <w:rFonts w:ascii="Arial" w:hAnsi="Arial" w:cs="Arial"/>
          <w:sz w:val="24"/>
          <w:szCs w:val="24"/>
        </w:rPr>
        <w:t xml:space="preserve">a la Dirección Jurídica. </w:t>
      </w:r>
    </w:p>
    <w:p w14:paraId="472CA76A" w14:textId="77777777" w:rsidR="00460EA1" w:rsidRPr="00DA1485" w:rsidRDefault="00460EA1" w:rsidP="00DA1485">
      <w:pPr>
        <w:jc w:val="both"/>
        <w:rPr>
          <w:rFonts w:ascii="Arial" w:hAnsi="Arial" w:cs="Arial"/>
          <w:sz w:val="24"/>
          <w:szCs w:val="24"/>
        </w:rPr>
      </w:pPr>
    </w:p>
    <w:p w14:paraId="171F56DE" w14:textId="77777777" w:rsidR="00460EA1" w:rsidRPr="00DA1485" w:rsidRDefault="00460EA1" w:rsidP="00DA1485">
      <w:pPr>
        <w:jc w:val="both"/>
        <w:rPr>
          <w:rFonts w:ascii="Arial" w:hAnsi="Arial" w:cs="Arial"/>
          <w:sz w:val="24"/>
          <w:szCs w:val="24"/>
        </w:rPr>
      </w:pPr>
      <w:r w:rsidRPr="00DA1485">
        <w:rPr>
          <w:rFonts w:ascii="Arial" w:hAnsi="Arial" w:cs="Arial"/>
          <w:sz w:val="24"/>
          <w:szCs w:val="24"/>
        </w:rPr>
        <w:t xml:space="preserve">Cordialmente, </w:t>
      </w:r>
    </w:p>
    <w:p w14:paraId="28542F75" w14:textId="4E080CBC" w:rsidR="00460EA1" w:rsidRDefault="00460EA1" w:rsidP="00DA1485">
      <w:pPr>
        <w:jc w:val="both"/>
        <w:rPr>
          <w:rFonts w:ascii="Arial" w:hAnsi="Arial" w:cs="Arial"/>
          <w:sz w:val="24"/>
          <w:szCs w:val="24"/>
        </w:rPr>
      </w:pPr>
    </w:p>
    <w:p w14:paraId="25DD79BD" w14:textId="1DEB2E28" w:rsidR="00DA1485" w:rsidRDefault="00DA1485" w:rsidP="00DA1485">
      <w:pPr>
        <w:jc w:val="both"/>
        <w:rPr>
          <w:rFonts w:ascii="Arial" w:hAnsi="Arial" w:cs="Arial"/>
          <w:sz w:val="24"/>
          <w:szCs w:val="24"/>
        </w:rPr>
      </w:pPr>
    </w:p>
    <w:p w14:paraId="62568381" w14:textId="77777777" w:rsidR="00DA1485" w:rsidRPr="00DA1485" w:rsidRDefault="00DA1485" w:rsidP="00DA1485">
      <w:pPr>
        <w:jc w:val="both"/>
        <w:rPr>
          <w:rFonts w:ascii="Arial" w:hAnsi="Arial" w:cs="Arial"/>
          <w:sz w:val="24"/>
          <w:szCs w:val="24"/>
        </w:rPr>
      </w:pPr>
    </w:p>
    <w:p w14:paraId="40AD66CF" w14:textId="77777777" w:rsidR="00460EA1" w:rsidRPr="00DA1485" w:rsidRDefault="00460EA1" w:rsidP="00DA1485">
      <w:pPr>
        <w:jc w:val="both"/>
        <w:rPr>
          <w:rFonts w:ascii="Arial" w:hAnsi="Arial" w:cs="Arial"/>
          <w:sz w:val="24"/>
          <w:szCs w:val="24"/>
        </w:rPr>
      </w:pPr>
    </w:p>
    <w:p w14:paraId="7BBD6916" w14:textId="50384AAE" w:rsidR="00F30F7E" w:rsidRPr="00DA1485" w:rsidRDefault="00F30F7E" w:rsidP="00DA1485">
      <w:pPr>
        <w:jc w:val="both"/>
        <w:rPr>
          <w:rFonts w:ascii="Arial" w:hAnsi="Arial" w:cs="Arial"/>
          <w:b/>
          <w:sz w:val="24"/>
          <w:szCs w:val="24"/>
        </w:rPr>
      </w:pPr>
    </w:p>
    <w:p w14:paraId="60F3682D" w14:textId="7D10774B" w:rsidR="00460EA1" w:rsidRPr="00DA1485" w:rsidRDefault="00EB4049" w:rsidP="00DA1485">
      <w:pPr>
        <w:jc w:val="both"/>
        <w:rPr>
          <w:rFonts w:ascii="Arial" w:hAnsi="Arial" w:cs="Arial"/>
          <w:b/>
          <w:sz w:val="24"/>
          <w:szCs w:val="24"/>
        </w:rPr>
      </w:pPr>
      <w:r w:rsidRPr="00DA1485">
        <w:rPr>
          <w:rFonts w:ascii="Arial" w:hAnsi="Arial" w:cs="Arial"/>
          <w:b/>
          <w:sz w:val="24"/>
          <w:szCs w:val="24"/>
        </w:rPr>
        <w:t>LEONARDO PAZOS GALINDO</w:t>
      </w:r>
    </w:p>
    <w:p w14:paraId="49444DF5" w14:textId="1A95E59B" w:rsidR="00460EA1" w:rsidRPr="00DA1485" w:rsidRDefault="00460EA1" w:rsidP="00DA1485">
      <w:pPr>
        <w:jc w:val="both"/>
        <w:rPr>
          <w:rFonts w:ascii="Arial" w:hAnsi="Arial" w:cs="Arial"/>
          <w:sz w:val="24"/>
          <w:szCs w:val="24"/>
        </w:rPr>
      </w:pPr>
      <w:r w:rsidRPr="00DA1485">
        <w:rPr>
          <w:rFonts w:ascii="Arial" w:hAnsi="Arial" w:cs="Arial"/>
          <w:sz w:val="24"/>
          <w:szCs w:val="24"/>
        </w:rPr>
        <w:t xml:space="preserve">Director Jurídico </w:t>
      </w:r>
    </w:p>
    <w:p w14:paraId="5C6F83B3" w14:textId="03963079" w:rsidR="00460EA1" w:rsidRPr="00DA1485" w:rsidRDefault="004D65E0" w:rsidP="00DA1485">
      <w:pPr>
        <w:jc w:val="both"/>
        <w:rPr>
          <w:rFonts w:ascii="Arial" w:hAnsi="Arial" w:cs="Arial"/>
          <w:sz w:val="24"/>
          <w:szCs w:val="24"/>
        </w:rPr>
      </w:pPr>
      <w:hyperlink r:id="rId11" w:history="1">
        <w:r w:rsidR="00EB4049" w:rsidRPr="00DA1485">
          <w:rPr>
            <w:rStyle w:val="Hipervnculo"/>
            <w:rFonts w:ascii="Arial" w:hAnsi="Arial" w:cs="Arial"/>
            <w:color w:val="auto"/>
            <w:sz w:val="24"/>
            <w:szCs w:val="24"/>
          </w:rPr>
          <w:t>lpazos@shd.gov.co</w:t>
        </w:r>
      </w:hyperlink>
      <w:r w:rsidR="00EB4049" w:rsidRPr="00DA1485">
        <w:rPr>
          <w:rFonts w:ascii="Arial" w:hAnsi="Arial" w:cs="Arial"/>
          <w:sz w:val="24"/>
          <w:szCs w:val="24"/>
        </w:rPr>
        <w:t xml:space="preserve"> </w:t>
      </w:r>
    </w:p>
    <w:p w14:paraId="3D1C3FBF" w14:textId="602DE6C0" w:rsidR="00460EA1" w:rsidRPr="00DA1485" w:rsidRDefault="00460EA1" w:rsidP="00DA1485">
      <w:pPr>
        <w:shd w:val="clear" w:color="auto" w:fill="FFFFFF"/>
        <w:ind w:right="51"/>
        <w:jc w:val="both"/>
        <w:rPr>
          <w:rFonts w:ascii="Arial" w:hAnsi="Arial" w:cs="Arial"/>
          <w:sz w:val="24"/>
          <w:szCs w:val="24"/>
        </w:rPr>
      </w:pPr>
    </w:p>
    <w:p w14:paraId="5BFA2D23" w14:textId="27A28C4E" w:rsidR="00C63A6E" w:rsidRPr="00DA1485" w:rsidRDefault="00C63A6E" w:rsidP="00DA1485">
      <w:pPr>
        <w:shd w:val="clear" w:color="auto" w:fill="FFFFFF"/>
        <w:ind w:right="51"/>
        <w:jc w:val="both"/>
        <w:rPr>
          <w:rFonts w:ascii="Arial" w:hAnsi="Arial" w:cs="Arial"/>
          <w:sz w:val="24"/>
          <w:szCs w:val="24"/>
        </w:rPr>
      </w:pPr>
    </w:p>
    <w:p w14:paraId="21ED5817" w14:textId="29593656" w:rsidR="00C63A6E" w:rsidRPr="00DA1485" w:rsidRDefault="00C63A6E" w:rsidP="00DA1485">
      <w:pPr>
        <w:shd w:val="clear" w:color="auto" w:fill="FFFFFF"/>
        <w:ind w:right="51"/>
        <w:jc w:val="both"/>
        <w:rPr>
          <w:rFonts w:ascii="Arial" w:hAnsi="Arial" w:cs="Arial"/>
          <w:sz w:val="24"/>
          <w:szCs w:val="24"/>
        </w:rPr>
      </w:pPr>
    </w:p>
    <w:p w14:paraId="5E863BC2" w14:textId="5EAF7C5B" w:rsidR="00C63A6E" w:rsidRPr="00DA1485" w:rsidRDefault="00C63A6E" w:rsidP="00DA1485">
      <w:pPr>
        <w:shd w:val="clear" w:color="auto" w:fill="FFFFFF"/>
        <w:ind w:right="51"/>
        <w:jc w:val="both"/>
        <w:rPr>
          <w:rFonts w:ascii="Arial" w:hAnsi="Arial" w:cs="Arial"/>
          <w:sz w:val="24"/>
          <w:szCs w:val="24"/>
        </w:rPr>
      </w:pPr>
    </w:p>
    <w:p w14:paraId="0D42AB11" w14:textId="51A97641" w:rsidR="00C63A6E" w:rsidRPr="00DA1485" w:rsidRDefault="00C63A6E" w:rsidP="00DA1485">
      <w:pPr>
        <w:shd w:val="clear" w:color="auto" w:fill="FFFFFF"/>
        <w:ind w:right="51"/>
        <w:jc w:val="both"/>
        <w:rPr>
          <w:rFonts w:ascii="Arial" w:hAnsi="Arial" w:cs="Arial"/>
          <w:sz w:val="24"/>
          <w:szCs w:val="24"/>
        </w:rPr>
      </w:pPr>
    </w:p>
    <w:p w14:paraId="6D2A759A" w14:textId="10EE748F" w:rsidR="00C63A6E" w:rsidRPr="00DA1485" w:rsidRDefault="00C63A6E" w:rsidP="00DA1485">
      <w:pPr>
        <w:shd w:val="clear" w:color="auto" w:fill="FFFFFF"/>
        <w:ind w:right="51"/>
        <w:jc w:val="both"/>
        <w:rPr>
          <w:rFonts w:ascii="Arial" w:hAnsi="Arial" w:cs="Arial"/>
          <w:sz w:val="24"/>
          <w:szCs w:val="24"/>
        </w:rPr>
      </w:pPr>
    </w:p>
    <w:p w14:paraId="26FA3CBC" w14:textId="68F8C745" w:rsidR="00C63A6E" w:rsidRPr="00DA1485" w:rsidRDefault="00C63A6E" w:rsidP="00DA1485">
      <w:pPr>
        <w:shd w:val="clear" w:color="auto" w:fill="FFFFFF"/>
        <w:ind w:right="51"/>
        <w:jc w:val="both"/>
        <w:rPr>
          <w:rFonts w:ascii="Arial" w:hAnsi="Arial" w:cs="Arial"/>
          <w:sz w:val="24"/>
          <w:szCs w:val="24"/>
        </w:rPr>
      </w:pPr>
    </w:p>
    <w:p w14:paraId="2B018D24" w14:textId="75906735" w:rsidR="00C63A6E" w:rsidRPr="00DA1485" w:rsidRDefault="00C63A6E" w:rsidP="00DA1485">
      <w:pPr>
        <w:shd w:val="clear" w:color="auto" w:fill="FFFFFF"/>
        <w:ind w:right="51"/>
        <w:jc w:val="both"/>
        <w:rPr>
          <w:rFonts w:ascii="Arial" w:hAnsi="Arial" w:cs="Arial"/>
          <w:sz w:val="24"/>
          <w:szCs w:val="24"/>
        </w:rPr>
      </w:pPr>
    </w:p>
    <w:p w14:paraId="3FD440E2" w14:textId="4CC9F5D8" w:rsidR="00C63A6E" w:rsidRPr="00DA1485" w:rsidRDefault="00C63A6E" w:rsidP="00DA1485">
      <w:pPr>
        <w:shd w:val="clear" w:color="auto" w:fill="FFFFFF"/>
        <w:ind w:right="51"/>
        <w:jc w:val="both"/>
        <w:rPr>
          <w:rFonts w:ascii="Arial" w:hAnsi="Arial" w:cs="Arial"/>
          <w:sz w:val="24"/>
          <w:szCs w:val="24"/>
        </w:rPr>
      </w:pPr>
    </w:p>
    <w:p w14:paraId="7AE92DD7" w14:textId="59B1A185" w:rsidR="00C63A6E" w:rsidRDefault="00C63A6E" w:rsidP="00DA1485">
      <w:pPr>
        <w:shd w:val="clear" w:color="auto" w:fill="FFFFFF"/>
        <w:ind w:right="51"/>
        <w:jc w:val="both"/>
        <w:rPr>
          <w:rFonts w:ascii="Arial" w:hAnsi="Arial" w:cs="Arial"/>
          <w:sz w:val="24"/>
          <w:szCs w:val="24"/>
        </w:rPr>
      </w:pPr>
    </w:p>
    <w:p w14:paraId="0E8E4921" w14:textId="53C07021" w:rsidR="00DA1485" w:rsidRDefault="00DA1485" w:rsidP="00DA1485">
      <w:pPr>
        <w:shd w:val="clear" w:color="auto" w:fill="FFFFFF"/>
        <w:ind w:right="51"/>
        <w:jc w:val="both"/>
        <w:rPr>
          <w:rFonts w:ascii="Arial" w:hAnsi="Arial" w:cs="Arial"/>
          <w:sz w:val="24"/>
          <w:szCs w:val="24"/>
        </w:rPr>
      </w:pPr>
    </w:p>
    <w:p w14:paraId="189A72EA" w14:textId="78374C14" w:rsidR="00DA1485" w:rsidRDefault="00DA1485" w:rsidP="00DA1485">
      <w:pPr>
        <w:shd w:val="clear" w:color="auto" w:fill="FFFFFF"/>
        <w:ind w:right="51"/>
        <w:jc w:val="both"/>
        <w:rPr>
          <w:rFonts w:ascii="Arial" w:hAnsi="Arial" w:cs="Arial"/>
          <w:sz w:val="24"/>
          <w:szCs w:val="24"/>
        </w:rPr>
      </w:pPr>
    </w:p>
    <w:p w14:paraId="7C6E89A2" w14:textId="37A2FB1F" w:rsidR="00DA1485" w:rsidRDefault="00DA1485" w:rsidP="00DA1485">
      <w:pPr>
        <w:shd w:val="clear" w:color="auto" w:fill="FFFFFF"/>
        <w:ind w:right="51"/>
        <w:jc w:val="both"/>
        <w:rPr>
          <w:rFonts w:ascii="Arial" w:hAnsi="Arial" w:cs="Arial"/>
          <w:sz w:val="24"/>
          <w:szCs w:val="24"/>
        </w:rPr>
      </w:pPr>
    </w:p>
    <w:p w14:paraId="0288A410" w14:textId="4F0ABE72" w:rsidR="00DA1485" w:rsidRDefault="00DA1485" w:rsidP="00DA1485">
      <w:pPr>
        <w:shd w:val="clear" w:color="auto" w:fill="FFFFFF"/>
        <w:ind w:right="51"/>
        <w:jc w:val="both"/>
        <w:rPr>
          <w:rFonts w:ascii="Arial" w:hAnsi="Arial" w:cs="Arial"/>
          <w:sz w:val="24"/>
          <w:szCs w:val="24"/>
        </w:rPr>
      </w:pPr>
    </w:p>
    <w:p w14:paraId="6A3903F0" w14:textId="28590DF1" w:rsidR="00DA1485" w:rsidRDefault="00DA1485" w:rsidP="00DA1485">
      <w:pPr>
        <w:shd w:val="clear" w:color="auto" w:fill="FFFFFF"/>
        <w:ind w:right="51"/>
        <w:jc w:val="both"/>
        <w:rPr>
          <w:rFonts w:ascii="Arial" w:hAnsi="Arial" w:cs="Arial"/>
          <w:sz w:val="24"/>
          <w:szCs w:val="24"/>
        </w:rPr>
      </w:pPr>
    </w:p>
    <w:p w14:paraId="7B78A4C6" w14:textId="5E56320B" w:rsidR="00DA1485" w:rsidRDefault="00DA1485" w:rsidP="00DA1485">
      <w:pPr>
        <w:shd w:val="clear" w:color="auto" w:fill="FFFFFF"/>
        <w:ind w:right="51"/>
        <w:jc w:val="both"/>
        <w:rPr>
          <w:rFonts w:ascii="Arial" w:hAnsi="Arial" w:cs="Arial"/>
          <w:sz w:val="24"/>
          <w:szCs w:val="24"/>
        </w:rPr>
      </w:pPr>
    </w:p>
    <w:p w14:paraId="005093A2" w14:textId="2E3C5AA9" w:rsidR="00C63A6E" w:rsidRPr="00DA1485" w:rsidRDefault="00C63A6E" w:rsidP="00DA1485">
      <w:pPr>
        <w:shd w:val="clear" w:color="auto" w:fill="FFFFFF"/>
        <w:ind w:right="51"/>
        <w:jc w:val="both"/>
        <w:rPr>
          <w:rFonts w:ascii="Arial" w:hAnsi="Arial" w:cs="Arial"/>
          <w:sz w:val="24"/>
          <w:szCs w:val="24"/>
        </w:rPr>
      </w:pPr>
    </w:p>
    <w:p w14:paraId="5C6ED0B3" w14:textId="77777777" w:rsidR="00C63A6E" w:rsidRPr="00DA1485" w:rsidRDefault="00C63A6E" w:rsidP="00DA1485">
      <w:pPr>
        <w:shd w:val="clear" w:color="auto" w:fill="FFFFFF"/>
        <w:ind w:right="51"/>
        <w:jc w:val="both"/>
        <w:rPr>
          <w:rFonts w:ascii="Arial" w:hAnsi="Arial" w:cs="Arial"/>
          <w:sz w:val="24"/>
          <w:szCs w:val="24"/>
        </w:rPr>
      </w:pPr>
    </w:p>
    <w:p w14:paraId="7FC6546E" w14:textId="77777777" w:rsidR="00460EA1" w:rsidRPr="00DA1485" w:rsidRDefault="00460EA1" w:rsidP="00DA1485">
      <w:pPr>
        <w:jc w:val="both"/>
        <w:rPr>
          <w:rFonts w:ascii="Arial" w:hAnsi="Arial" w:cs="Arial"/>
          <w:sz w:val="22"/>
          <w:szCs w:val="22"/>
        </w:rPr>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066"/>
      </w:tblGrid>
      <w:tr w:rsidR="00DA1485" w:rsidRPr="00DA1485" w14:paraId="206E9CE9" w14:textId="77777777" w:rsidTr="005F3C84">
        <w:trPr>
          <w:cantSplit/>
          <w:trHeight w:val="465"/>
        </w:trPr>
        <w:tc>
          <w:tcPr>
            <w:tcW w:w="1032" w:type="pct"/>
            <w:shd w:val="clear" w:color="auto" w:fill="auto"/>
            <w:vAlign w:val="center"/>
          </w:tcPr>
          <w:p w14:paraId="76216A0C" w14:textId="6B1929E1" w:rsidR="00460EA1" w:rsidRPr="00DA1485" w:rsidRDefault="005F3C84" w:rsidP="00DA1485">
            <w:pPr>
              <w:rPr>
                <w:rFonts w:ascii="Arial" w:hAnsi="Arial" w:cs="Arial"/>
              </w:rPr>
            </w:pPr>
            <w:r>
              <w:rPr>
                <w:rFonts w:ascii="Arial" w:hAnsi="Arial" w:cs="Arial"/>
              </w:rPr>
              <w:t>Aprobado</w:t>
            </w:r>
            <w:r w:rsidR="00D96F20" w:rsidRPr="00DA1485">
              <w:rPr>
                <w:rFonts w:ascii="Arial" w:hAnsi="Arial" w:cs="Arial"/>
              </w:rPr>
              <w:t xml:space="preserve"> </w:t>
            </w:r>
            <w:r w:rsidR="00460EA1" w:rsidRPr="00DA1485">
              <w:rPr>
                <w:rFonts w:ascii="Arial" w:hAnsi="Arial" w:cs="Arial"/>
              </w:rPr>
              <w:t>por:</w:t>
            </w:r>
          </w:p>
        </w:tc>
        <w:tc>
          <w:tcPr>
            <w:tcW w:w="3968" w:type="pct"/>
            <w:shd w:val="clear" w:color="auto" w:fill="auto"/>
            <w:vAlign w:val="center"/>
          </w:tcPr>
          <w:p w14:paraId="7AEE3B87" w14:textId="094DBBE4" w:rsidR="00460EA1" w:rsidRPr="00DA1485" w:rsidRDefault="00D96F20" w:rsidP="00DA1485">
            <w:pPr>
              <w:pStyle w:val="Ttulo2"/>
              <w:textAlignment w:val="top"/>
              <w:rPr>
                <w:rFonts w:ascii="Arial" w:hAnsi="Arial" w:cs="Arial"/>
                <w:iCs w:val="0"/>
                <w:sz w:val="20"/>
                <w:szCs w:val="20"/>
                <w:lang w:val="es-CO"/>
              </w:rPr>
            </w:pPr>
            <w:r w:rsidRPr="00DA1485">
              <w:rPr>
                <w:rFonts w:ascii="Arial" w:hAnsi="Arial" w:cs="Arial"/>
                <w:b w:val="0"/>
                <w:bCs w:val="0"/>
                <w:i w:val="0"/>
                <w:sz w:val="20"/>
                <w:szCs w:val="20"/>
                <w:lang w:eastAsia="es-ES"/>
              </w:rPr>
              <w:t xml:space="preserve"> Manuel Avila Olarte, </w:t>
            </w:r>
            <w:proofErr w:type="gramStart"/>
            <w:r w:rsidRPr="00DA1485">
              <w:rPr>
                <w:rFonts w:ascii="Arial" w:hAnsi="Arial" w:cs="Arial"/>
                <w:b w:val="0"/>
                <w:bCs w:val="0"/>
                <w:i w:val="0"/>
                <w:sz w:val="20"/>
                <w:szCs w:val="20"/>
                <w:lang w:eastAsia="es-ES"/>
              </w:rPr>
              <w:t>Subdirector</w:t>
            </w:r>
            <w:proofErr w:type="gramEnd"/>
            <w:r w:rsidRPr="00DA1485">
              <w:rPr>
                <w:rFonts w:ascii="Arial" w:hAnsi="Arial" w:cs="Arial"/>
                <w:b w:val="0"/>
                <w:bCs w:val="0"/>
                <w:i w:val="0"/>
                <w:sz w:val="20"/>
                <w:szCs w:val="20"/>
                <w:lang w:eastAsia="es-ES"/>
              </w:rPr>
              <w:t xml:space="preserve"> Jurídico de Hacienda </w:t>
            </w:r>
          </w:p>
        </w:tc>
      </w:tr>
    </w:tbl>
    <w:p w14:paraId="4E865BA7" w14:textId="77777777" w:rsidR="00460EA1" w:rsidRPr="00DA1485" w:rsidRDefault="00460EA1" w:rsidP="00DA1485">
      <w:pPr>
        <w:jc w:val="both"/>
        <w:rPr>
          <w:rFonts w:ascii="Arial" w:hAnsi="Arial" w:cs="Arial"/>
          <w:sz w:val="10"/>
          <w:szCs w:val="10"/>
        </w:rPr>
      </w:pPr>
    </w:p>
    <w:p w14:paraId="1376FAAD" w14:textId="77777777" w:rsidR="00460EA1" w:rsidRPr="00DA1485" w:rsidRDefault="00460EA1" w:rsidP="00DA1485">
      <w:pPr>
        <w:jc w:val="both"/>
        <w:rPr>
          <w:rFonts w:ascii="Arial" w:hAnsi="Arial" w:cs="Arial"/>
          <w:sz w:val="16"/>
          <w:szCs w:val="16"/>
        </w:rPr>
      </w:pPr>
    </w:p>
    <w:p w14:paraId="4147DC25" w14:textId="77777777" w:rsidR="00460EA1" w:rsidRPr="00DA1485" w:rsidRDefault="00460EA1" w:rsidP="00DA1485">
      <w:pPr>
        <w:rPr>
          <w:rFonts w:ascii="Arial" w:hAnsi="Arial" w:cs="Arial"/>
        </w:rPr>
      </w:pPr>
    </w:p>
    <w:sectPr w:rsidR="00460EA1" w:rsidRPr="00DA1485" w:rsidSect="00DA1485">
      <w:headerReference w:type="default" r:id="rId12"/>
      <w:footerReference w:type="even" r:id="rId13"/>
      <w:footerReference w:type="default" r:id="rId14"/>
      <w:pgSz w:w="12240" w:h="15840"/>
      <w:pgMar w:top="1985" w:right="1467" w:bottom="1985"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7EC1B" w14:textId="77777777" w:rsidR="004D65E0" w:rsidRDefault="004D65E0">
      <w:r>
        <w:separator/>
      </w:r>
    </w:p>
  </w:endnote>
  <w:endnote w:type="continuationSeparator" w:id="0">
    <w:p w14:paraId="173D3733" w14:textId="77777777" w:rsidR="004D65E0" w:rsidRDefault="004D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2A61" w14:textId="77777777" w:rsidR="005B322D" w:rsidRDefault="005B322D">
    <w:pPr>
      <w:pStyle w:val="Piedepgina"/>
    </w:pPr>
  </w:p>
  <w:p w14:paraId="78472A62" w14:textId="77777777" w:rsidR="00FA5EE7" w:rsidRDefault="00DF75FF">
    <w:r>
      <w:rPr>
        <w:noProof/>
        <w:lang w:val="es-CO" w:eastAsia="es-CO"/>
      </w:rPr>
      <mc:AlternateContent>
        <mc:Choice Requires="wps">
          <w:drawing>
            <wp:anchor distT="0" distB="0" distL="114300" distR="114300" simplePos="0" relativeHeight="251655680" behindDoc="0" locked="0" layoutInCell="1" allowOverlap="1" wp14:anchorId="78472A67" wp14:editId="78472A68">
              <wp:simplePos x="0" y="0"/>
              <wp:positionH relativeFrom="column">
                <wp:posOffset>2181860</wp:posOffset>
              </wp:positionH>
              <wp:positionV relativeFrom="paragraph">
                <wp:posOffset>9441180</wp:posOffset>
              </wp:positionV>
              <wp:extent cx="3928110" cy="40894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72A71"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Sede Administrativa CAD Carrera 30 No. 25-90</w:t>
                          </w:r>
                        </w:p>
                        <w:p w14:paraId="78472A72"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78472A73"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PBX 369 2700 - 338 5000 * </w:t>
                          </w:r>
                          <w:hyperlink r:id="rId1" w:history="1">
                            <w:r w:rsidRPr="003533F0">
                              <w:rPr>
                                <w:rStyle w:val="Hipervnculo"/>
                                <w:rFonts w:ascii="Arial" w:hAnsi="Arial" w:cs="Arial"/>
                                <w:b/>
                                <w:bCs/>
                                <w:sz w:val="15"/>
                                <w:szCs w:val="15"/>
                              </w:rPr>
                              <w:t>www.haciendabogota.gov.co</w:t>
                            </w:r>
                          </w:hyperlink>
                          <w:r w:rsidRPr="003533F0">
                            <w:rPr>
                              <w:rFonts w:ascii="Arial" w:hAnsi="Arial" w:cs="Arial"/>
                              <w:b/>
                              <w:bCs/>
                              <w:sz w:val="15"/>
                              <w:szCs w:val="15"/>
                            </w:rPr>
                            <w:t xml:space="preserve"> </w:t>
                          </w:r>
                          <w:proofErr w:type="gramStart"/>
                          <w:r w:rsidRPr="003533F0">
                            <w:rPr>
                              <w:rFonts w:ascii="Arial" w:hAnsi="Arial" w:cs="Arial"/>
                              <w:b/>
                              <w:bCs/>
                              <w:sz w:val="15"/>
                              <w:szCs w:val="15"/>
                            </w:rPr>
                            <w:t>*  Información</w:t>
                          </w:r>
                          <w:proofErr w:type="gramEnd"/>
                          <w:r w:rsidRPr="003533F0">
                            <w:rPr>
                              <w:rFonts w:ascii="Arial" w:hAnsi="Arial" w:cs="Arial"/>
                              <w:b/>
                              <w:bCs/>
                              <w:sz w:val="15"/>
                              <w:szCs w:val="15"/>
                            </w:rPr>
                            <w:t>: Línea 195</w:t>
                          </w:r>
                        </w:p>
                        <w:p w14:paraId="78472A74" w14:textId="77777777" w:rsidR="005B322D" w:rsidRDefault="005B322D" w:rsidP="005B32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72A67" id="_x0000_t202" coordsize="21600,21600" o:spt="202" path="m,l,21600r21600,l21600,xe">
              <v:stroke joinstyle="miter"/>
              <v:path gradientshapeok="t" o:connecttype="rect"/>
            </v:shapetype>
            <v:shape id="Text Box 4" o:spid="_x0000_s1026" type="#_x0000_t202" style="position:absolute;margin-left:171.8pt;margin-top:743.4pt;width:309.3pt;height:3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" filled="f" stroked="f">
              <v:textbox>
                <w:txbxContent>
                  <w:p w14:paraId="78472A71"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Sede Administrativa CAD Carrera 30 No. 25-90</w:t>
                    </w:r>
                  </w:p>
                  <w:p w14:paraId="78472A72"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78472A73"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PBX 369 2700 - 338 5000 * </w:t>
                    </w:r>
                    <w:hyperlink r:id="rId2" w:history="1">
                      <w:r w:rsidRPr="003533F0">
                        <w:rPr>
                          <w:rStyle w:val="Hipervnculo"/>
                          <w:rFonts w:ascii="Arial" w:hAnsi="Arial" w:cs="Arial"/>
                          <w:b/>
                          <w:bCs/>
                          <w:sz w:val="15"/>
                          <w:szCs w:val="15"/>
                        </w:rPr>
                        <w:t>www.haciendabogota.gov.co</w:t>
                      </w:r>
                    </w:hyperlink>
                    <w:r w:rsidRPr="003533F0">
                      <w:rPr>
                        <w:rFonts w:ascii="Arial" w:hAnsi="Arial" w:cs="Arial"/>
                        <w:b/>
                        <w:bCs/>
                        <w:sz w:val="15"/>
                        <w:szCs w:val="15"/>
                      </w:rPr>
                      <w:t xml:space="preserve"> *  Información: Línea 195</w:t>
                    </w:r>
                  </w:p>
                  <w:p w14:paraId="78472A74" w14:textId="77777777" w:rsidR="005B322D" w:rsidRDefault="005B322D" w:rsidP="005B322D"/>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2A64" w14:textId="66E7C508" w:rsidR="00FA5EE7" w:rsidRDefault="006741E4" w:rsidP="00F56EF1">
    <w:pPr>
      <w:shd w:val="solid" w:color="FFFFFF" w:fill="FFFFFF"/>
      <w:tabs>
        <w:tab w:val="left" w:pos="600"/>
        <w:tab w:val="left" w:pos="8880"/>
      </w:tabs>
      <w:rPr>
        <w:rFonts w:ascii="Arial" w:hAnsi="Arial" w:cs="Arial"/>
        <w:b/>
        <w:bCs/>
      </w:rPr>
    </w:pPr>
    <w:r>
      <w:rPr>
        <w:rFonts w:ascii="Arial" w:hAnsi="Arial" w:cs="Arial"/>
        <w:b/>
        <w:bCs/>
        <w:noProof/>
        <w:lang w:val="es-CO" w:eastAsia="es-CO"/>
      </w:rPr>
      <w:drawing>
        <wp:anchor distT="0" distB="0" distL="114300" distR="114300" simplePos="0" relativeHeight="251661312" behindDoc="0" locked="0" layoutInCell="1" allowOverlap="1" wp14:anchorId="058438A6" wp14:editId="6D19A4A5">
          <wp:simplePos x="0" y="0"/>
          <wp:positionH relativeFrom="column">
            <wp:posOffset>-1532890</wp:posOffset>
          </wp:positionH>
          <wp:positionV relativeFrom="paragraph">
            <wp:posOffset>-763905</wp:posOffset>
          </wp:positionV>
          <wp:extent cx="7804785" cy="1389380"/>
          <wp:effectExtent l="0" t="0" r="0" b="0"/>
          <wp:wrapNone/>
          <wp:docPr id="12" name="Imagen 12"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04785" cy="1389380"/>
                  </a:xfrm>
                  <a:prstGeom prst="rect">
                    <a:avLst/>
                  </a:prstGeom>
                </pic:spPr>
              </pic:pic>
            </a:graphicData>
          </a:graphic>
          <wp14:sizeRelH relativeFrom="page">
            <wp14:pctWidth>0</wp14:pctWidth>
          </wp14:sizeRelH>
          <wp14:sizeRelV relativeFrom="page">
            <wp14:pctHeight>0</wp14:pctHeight>
          </wp14:sizeRelV>
        </wp:anchor>
      </w:drawing>
    </w:r>
    <w:r w:rsidR="00B51C18" w:rsidRPr="00B51C18">
      <w:rPr>
        <w:noProof/>
        <w:lang w:val="es-CO" w:eastAsia="es-CO"/>
      </w:rPr>
      <mc:AlternateContent>
        <mc:Choice Requires="wps">
          <w:drawing>
            <wp:anchor distT="0" distB="0" distL="114300" distR="114300" simplePos="0" relativeHeight="251663360" behindDoc="0" locked="0" layoutInCell="0" allowOverlap="1" wp14:anchorId="07783A5D" wp14:editId="647EBCB0">
              <wp:simplePos x="0" y="0"/>
              <wp:positionH relativeFrom="rightMargin">
                <wp:posOffset>162077</wp:posOffset>
              </wp:positionH>
              <wp:positionV relativeFrom="page">
                <wp:posOffset>8478317</wp:posOffset>
              </wp:positionV>
              <wp:extent cx="762000" cy="241173"/>
              <wp:effectExtent l="0" t="0" r="0" b="698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41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eastAsiaTheme="majorEastAsia" w:hAnsi="Arial" w:cs="Arial"/>
                              <w:sz w:val="18"/>
                              <w:szCs w:val="18"/>
                            </w:rPr>
                            <w:id w:val="-1807150379"/>
                            <w:docPartObj>
                              <w:docPartGallery w:val="Page Numbers (Margins)"/>
                              <w:docPartUnique/>
                            </w:docPartObj>
                          </w:sdtPr>
                          <w:sdtEndPr/>
                          <w:sdtContent>
                            <w:p w14:paraId="2A63C526" w14:textId="77777777" w:rsidR="00B51C18" w:rsidRPr="00B51C18" w:rsidRDefault="00B51C18">
                              <w:pPr>
                                <w:jc w:val="center"/>
                                <w:rPr>
                                  <w:rFonts w:ascii="Arial" w:eastAsiaTheme="majorEastAsia" w:hAnsi="Arial" w:cs="Arial"/>
                                  <w:sz w:val="18"/>
                                  <w:szCs w:val="18"/>
                                </w:rPr>
                              </w:pPr>
                              <w:r w:rsidRPr="00B51C18">
                                <w:rPr>
                                  <w:rFonts w:ascii="Arial" w:eastAsiaTheme="minorEastAsia" w:hAnsi="Arial" w:cs="Arial"/>
                                  <w:sz w:val="18"/>
                                  <w:szCs w:val="18"/>
                                </w:rPr>
                                <w:fldChar w:fldCharType="begin"/>
                              </w:r>
                              <w:r w:rsidRPr="00B51C18">
                                <w:rPr>
                                  <w:rFonts w:ascii="Arial" w:hAnsi="Arial" w:cs="Arial"/>
                                  <w:sz w:val="18"/>
                                  <w:szCs w:val="18"/>
                                </w:rPr>
                                <w:instrText>PAGE  \* MERGEFORMAT</w:instrText>
                              </w:r>
                              <w:r w:rsidRPr="00B51C18">
                                <w:rPr>
                                  <w:rFonts w:ascii="Arial" w:eastAsiaTheme="minorEastAsia" w:hAnsi="Arial" w:cs="Arial"/>
                                  <w:sz w:val="18"/>
                                  <w:szCs w:val="18"/>
                                </w:rPr>
                                <w:fldChar w:fldCharType="separate"/>
                              </w:r>
                              <w:r w:rsidR="00EB4049" w:rsidRPr="00EB4049">
                                <w:rPr>
                                  <w:rFonts w:ascii="Arial" w:eastAsiaTheme="majorEastAsia" w:hAnsi="Arial" w:cs="Arial"/>
                                  <w:noProof/>
                                  <w:sz w:val="18"/>
                                  <w:szCs w:val="18"/>
                                  <w:lang w:val="es-ES"/>
                                </w:rPr>
                                <w:t>7</w:t>
                              </w:r>
                              <w:r w:rsidRPr="00B51C18">
                                <w:rPr>
                                  <w:rFonts w:ascii="Arial" w:eastAsiaTheme="majorEastAsia" w:hAnsi="Arial" w:cs="Arial"/>
                                  <w:sz w:val="18"/>
                                  <w:szCs w:val="1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83A5D" id="Rectángulo 2" o:spid="_x0000_s1027" style="position:absolute;margin-left:12.75pt;margin-top:667.6pt;width:60pt;height:1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" o:allowincell="f" stroked="f">
              <v:textbox>
                <w:txbxContent>
                  <w:sdt>
                    <w:sdtPr>
                      <w:rPr>
                        <w:rFonts w:ascii="Arial" w:eastAsiaTheme="majorEastAsia" w:hAnsi="Arial" w:cs="Arial"/>
                        <w:sz w:val="18"/>
                        <w:szCs w:val="18"/>
                      </w:rPr>
                      <w:id w:val="-1807150379"/>
                      <w:docPartObj>
                        <w:docPartGallery w:val="Page Numbers (Margins)"/>
                        <w:docPartUnique/>
                      </w:docPartObj>
                    </w:sdtPr>
                    <w:sdtEndPr/>
                    <w:sdtContent>
                      <w:p w14:paraId="2A63C526" w14:textId="77777777" w:rsidR="00B51C18" w:rsidRPr="00B51C18" w:rsidRDefault="00B51C18">
                        <w:pPr>
                          <w:jc w:val="center"/>
                          <w:rPr>
                            <w:rFonts w:ascii="Arial" w:eastAsiaTheme="majorEastAsia" w:hAnsi="Arial" w:cs="Arial"/>
                            <w:sz w:val="18"/>
                            <w:szCs w:val="18"/>
                          </w:rPr>
                        </w:pPr>
                        <w:r w:rsidRPr="00B51C18">
                          <w:rPr>
                            <w:rFonts w:ascii="Arial" w:eastAsiaTheme="minorEastAsia" w:hAnsi="Arial" w:cs="Arial"/>
                            <w:sz w:val="18"/>
                            <w:szCs w:val="18"/>
                          </w:rPr>
                          <w:fldChar w:fldCharType="begin"/>
                        </w:r>
                        <w:r w:rsidRPr="00B51C18">
                          <w:rPr>
                            <w:rFonts w:ascii="Arial" w:hAnsi="Arial" w:cs="Arial"/>
                            <w:sz w:val="18"/>
                            <w:szCs w:val="18"/>
                          </w:rPr>
                          <w:instrText>PAGE  \* MERGEFORMAT</w:instrText>
                        </w:r>
                        <w:r w:rsidRPr="00B51C18">
                          <w:rPr>
                            <w:rFonts w:ascii="Arial" w:eastAsiaTheme="minorEastAsia" w:hAnsi="Arial" w:cs="Arial"/>
                            <w:sz w:val="18"/>
                            <w:szCs w:val="18"/>
                          </w:rPr>
                          <w:fldChar w:fldCharType="separate"/>
                        </w:r>
                        <w:r w:rsidR="00EB4049" w:rsidRPr="00EB4049">
                          <w:rPr>
                            <w:rFonts w:ascii="Arial" w:eastAsiaTheme="majorEastAsia" w:hAnsi="Arial" w:cs="Arial"/>
                            <w:noProof/>
                            <w:sz w:val="18"/>
                            <w:szCs w:val="18"/>
                            <w:lang w:val="es-ES"/>
                          </w:rPr>
                          <w:t>7</w:t>
                        </w:r>
                        <w:r w:rsidRPr="00B51C18">
                          <w:rPr>
                            <w:rFonts w:ascii="Arial" w:eastAsiaTheme="majorEastAsia" w:hAnsi="Arial" w:cs="Arial"/>
                            <w:sz w:val="18"/>
                            <w:szCs w:val="18"/>
                          </w:rPr>
                          <w:fldChar w:fldCharType="end"/>
                        </w:r>
                      </w:p>
                    </w:sdtContent>
                  </w:sdt>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737EC" w14:textId="77777777" w:rsidR="004D65E0" w:rsidRDefault="004D65E0">
      <w:r>
        <w:separator/>
      </w:r>
    </w:p>
  </w:footnote>
  <w:footnote w:type="continuationSeparator" w:id="0">
    <w:p w14:paraId="1F6632D7" w14:textId="77777777" w:rsidR="004D65E0" w:rsidRDefault="004D65E0">
      <w:r>
        <w:continuationSeparator/>
      </w:r>
    </w:p>
  </w:footnote>
  <w:footnote w:id="1">
    <w:p w14:paraId="7292FB31" w14:textId="480B9D4A" w:rsidR="00945A99" w:rsidRDefault="00945A99" w:rsidP="00CD41F9">
      <w:pPr>
        <w:pStyle w:val="Textonotapie"/>
        <w:jc w:val="both"/>
        <w:rPr>
          <w:rFonts w:ascii="Arial" w:hAnsi="Arial" w:cs="Arial"/>
        </w:rPr>
      </w:pPr>
      <w:r w:rsidRPr="00DA1485">
        <w:rPr>
          <w:rStyle w:val="Refdenotaalpie"/>
          <w:rFonts w:ascii="Arial" w:hAnsi="Arial" w:cs="Arial"/>
        </w:rPr>
        <w:footnoteRef/>
      </w:r>
      <w:r w:rsidRPr="00DA1485">
        <w:rPr>
          <w:rFonts w:ascii="Arial" w:hAnsi="Arial" w:cs="Arial"/>
        </w:rPr>
        <w:t xml:space="preserve">  Sala Plena de la Corte Constitucional</w:t>
      </w:r>
      <w:r w:rsidR="00A475FE">
        <w:rPr>
          <w:rFonts w:ascii="Arial" w:hAnsi="Arial" w:cs="Arial"/>
        </w:rPr>
        <w:t xml:space="preserve">, </w:t>
      </w:r>
      <w:r w:rsidRPr="00DA1485">
        <w:rPr>
          <w:rFonts w:ascii="Arial" w:hAnsi="Arial" w:cs="Arial"/>
        </w:rPr>
        <w:t xml:space="preserve"> Sentencia SU</w:t>
      </w:r>
      <w:r w:rsidR="00A475FE">
        <w:rPr>
          <w:rFonts w:ascii="Arial" w:hAnsi="Arial" w:cs="Arial"/>
        </w:rPr>
        <w:t xml:space="preserve"> </w:t>
      </w:r>
      <w:r w:rsidRPr="00DA1485">
        <w:rPr>
          <w:rFonts w:ascii="Arial" w:hAnsi="Arial" w:cs="Arial"/>
        </w:rPr>
        <w:t>072 de 5 de julio de 2018</w:t>
      </w:r>
      <w:r w:rsidR="00A475FE">
        <w:rPr>
          <w:rFonts w:ascii="Arial" w:hAnsi="Arial" w:cs="Arial"/>
        </w:rPr>
        <w:t xml:space="preserve">, </w:t>
      </w:r>
      <w:r w:rsidRPr="00DA1485">
        <w:rPr>
          <w:rFonts w:ascii="Arial" w:hAnsi="Arial" w:cs="Arial"/>
        </w:rPr>
        <w:t xml:space="preserve"> M.P.José Fernando Reyes Cuartas</w:t>
      </w:r>
      <w:r w:rsidR="00A475FE">
        <w:rPr>
          <w:rFonts w:ascii="Arial" w:hAnsi="Arial" w:cs="Arial"/>
        </w:rPr>
        <w:t>.</w:t>
      </w:r>
    </w:p>
    <w:p w14:paraId="009E0604" w14:textId="77777777" w:rsidR="002507E9" w:rsidRPr="00DA1485" w:rsidRDefault="002507E9" w:rsidP="00DA1485">
      <w:pPr>
        <w:pStyle w:val="Textonotapie"/>
        <w:jc w:val="both"/>
        <w:rPr>
          <w:rFonts w:ascii="Arial" w:hAnsi="Arial" w:cs="Arial"/>
        </w:rPr>
      </w:pPr>
    </w:p>
  </w:footnote>
  <w:footnote w:id="2">
    <w:p w14:paraId="597C5FD7" w14:textId="7293C882" w:rsidR="0005208A" w:rsidRPr="00DA1485" w:rsidRDefault="0005208A" w:rsidP="00DA1485">
      <w:pPr>
        <w:pStyle w:val="Textonotapie"/>
        <w:jc w:val="both"/>
        <w:rPr>
          <w:rFonts w:ascii="Arial" w:hAnsi="Arial" w:cs="Arial"/>
          <w:lang w:val="es-CO"/>
        </w:rPr>
      </w:pPr>
      <w:r w:rsidRPr="00DA1485">
        <w:rPr>
          <w:rStyle w:val="Refdenotaalpie"/>
          <w:rFonts w:ascii="Arial" w:hAnsi="Arial" w:cs="Arial"/>
        </w:rPr>
        <w:footnoteRef/>
      </w:r>
      <w:r w:rsidRPr="00DA1485">
        <w:rPr>
          <w:rFonts w:ascii="Arial" w:hAnsi="Arial" w:cs="Arial"/>
        </w:rPr>
        <w:t xml:space="preserve"> Corte Constitucional, Sentencia C-</w:t>
      </w:r>
      <w:r w:rsidR="00EF2772" w:rsidRPr="00DA1485">
        <w:rPr>
          <w:rFonts w:ascii="Arial" w:hAnsi="Arial" w:cs="Arial"/>
        </w:rPr>
        <w:t xml:space="preserve">003 de </w:t>
      </w:r>
      <w:r w:rsidR="00EF2772" w:rsidRPr="00DA1485">
        <w:rPr>
          <w:rFonts w:ascii="Arial" w:eastAsia="Verdana" w:hAnsi="Arial" w:cs="Arial"/>
          <w:noProof/>
          <w:lang w:val="es-CO" w:eastAsia="es-CO"/>
        </w:rPr>
        <w:t>8 de febero de</w:t>
      </w:r>
      <w:r w:rsidR="00EF2772" w:rsidRPr="00DA1485">
        <w:rPr>
          <w:rFonts w:ascii="Arial" w:hAnsi="Arial" w:cs="Arial"/>
        </w:rPr>
        <w:t xml:space="preserve"> 2018,   </w:t>
      </w:r>
      <w:r w:rsidR="00EF2772" w:rsidRPr="00DA1485">
        <w:rPr>
          <w:rFonts w:ascii="Arial" w:eastAsia="Verdana" w:hAnsi="Arial" w:cs="Arial"/>
          <w:noProof/>
          <w:lang w:val="es-CO" w:eastAsia="es-CO"/>
        </w:rPr>
        <w:t>M.P. Carlos Bernal Pulido</w:t>
      </w:r>
      <w:r w:rsidR="007C6223" w:rsidRPr="00DA1485">
        <w:rPr>
          <w:rFonts w:ascii="Arial" w:eastAsia="Verdana" w:hAnsi="Arial" w:cs="Arial"/>
          <w:noProof/>
          <w:lang w:val="es-CO" w:eastAsia="es-CO"/>
        </w:rPr>
        <w:t xml:space="preserve">. </w:t>
      </w:r>
    </w:p>
  </w:footnote>
  <w:footnote w:id="3">
    <w:p w14:paraId="282F7533" w14:textId="7F336E22" w:rsidR="006A7417" w:rsidRDefault="006A7417" w:rsidP="006A7417">
      <w:pPr>
        <w:pStyle w:val="Textonotapie"/>
        <w:rPr>
          <w:lang w:val="es-CO"/>
        </w:rPr>
      </w:pPr>
      <w:r>
        <w:rPr>
          <w:rStyle w:val="Refdenotaalpie"/>
        </w:rPr>
        <w:footnoteRef/>
      </w:r>
      <w:r>
        <w:t xml:space="preserve"> </w:t>
      </w:r>
      <w:r>
        <w:rPr>
          <w:lang w:val="es-CO"/>
        </w:rPr>
        <w:t>Corte Constitucional, Sentencia T-385/20 del 3 de septiembre de 2020, M.P. Diana Fajardo Rivera</w:t>
      </w:r>
      <w:r w:rsidR="00C05FCE">
        <w:rPr>
          <w:lang w:val="es-CO"/>
        </w:rPr>
        <w:t>.</w:t>
      </w:r>
    </w:p>
    <w:p w14:paraId="4896E750" w14:textId="77777777" w:rsidR="008050C6" w:rsidRPr="00967008" w:rsidRDefault="008050C6" w:rsidP="006A7417">
      <w:pPr>
        <w:pStyle w:val="Textonotapie"/>
        <w:rPr>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2A60" w14:textId="4ADB6329" w:rsidR="00FA5EE7" w:rsidRPr="00B50543" w:rsidRDefault="004D65E0">
    <w:pPr>
      <w:pStyle w:val="Encabezado"/>
      <w:jc w:val="center"/>
      <w:rPr>
        <w:lang w:val="es-CO"/>
      </w:rPr>
    </w:pPr>
    <w:sdt>
      <w:sdtPr>
        <w:rPr>
          <w:lang w:val="es-CO"/>
        </w:rPr>
        <w:id w:val="2026435049"/>
        <w:docPartObj>
          <w:docPartGallery w:val="Page Numbers (Margins)"/>
          <w:docPartUnique/>
        </w:docPartObj>
      </w:sdtPr>
      <w:sdtEndPr/>
      <w:sdtContent/>
    </w:sdt>
    <w:r w:rsidR="000D40E6">
      <w:rPr>
        <w:noProof/>
        <w:lang w:val="es-CO" w:eastAsia="es-CO"/>
      </w:rPr>
      <w:drawing>
        <wp:anchor distT="0" distB="0" distL="114300" distR="114300" simplePos="0" relativeHeight="251660288" behindDoc="1" locked="0" layoutInCell="1" allowOverlap="1" wp14:anchorId="7F72FBE3" wp14:editId="230E82E9">
          <wp:simplePos x="0" y="0"/>
          <wp:positionH relativeFrom="page">
            <wp:align>left</wp:align>
          </wp:positionH>
          <wp:positionV relativeFrom="paragraph">
            <wp:posOffset>-359435</wp:posOffset>
          </wp:positionV>
          <wp:extent cx="7805249" cy="1223158"/>
          <wp:effectExtent l="0" t="0" r="0" b="0"/>
          <wp:wrapNone/>
          <wp:docPr id="11" name="Imagen 11" descr="Imagen que contien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de trabajo 1@3x.png"/>
                  <pic:cNvPicPr/>
                </pic:nvPicPr>
                <pic:blipFill>
                  <a:blip r:embed="rId1">
                    <a:extLst>
                      <a:ext uri="{28A0092B-C50C-407E-A947-70E740481C1C}">
                        <a14:useLocalDpi xmlns:a14="http://schemas.microsoft.com/office/drawing/2010/main" val="0"/>
                      </a:ext>
                    </a:extLst>
                  </a:blip>
                  <a:stretch>
                    <a:fillRect/>
                  </a:stretch>
                </pic:blipFill>
                <pic:spPr>
                  <a:xfrm>
                    <a:off x="0" y="0"/>
                    <a:ext cx="7905740" cy="123890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7854A0"/>
    <w:lvl w:ilvl="0">
      <w:numFmt w:val="decimal"/>
      <w:lvlText w:val="*"/>
      <w:lvlJc w:val="left"/>
    </w:lvl>
  </w:abstractNum>
  <w:abstractNum w:abstractNumId="1" w15:restartNumberingAfterBreak="0">
    <w:nsid w:val="18756D73"/>
    <w:multiLevelType w:val="hybridMultilevel"/>
    <w:tmpl w:val="B5D428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0702FED"/>
    <w:multiLevelType w:val="hybridMultilevel"/>
    <w:tmpl w:val="68BC5870"/>
    <w:lvl w:ilvl="0" w:tplc="548A831E">
      <w:start w:val="1"/>
      <w:numFmt w:val="decimal"/>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Wingdings" w:hAnsi="Wingdings" w:cs="Wingdings" w:hint="default"/>
          <w:b w:val="0"/>
          <w:bCs w:val="0"/>
          <w:i w:val="0"/>
          <w:iCs w:val="0"/>
          <w:sz w:val="24"/>
          <w:szCs w:val="24"/>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18C"/>
    <w:rsid w:val="000156A4"/>
    <w:rsid w:val="00017F35"/>
    <w:rsid w:val="00022CB6"/>
    <w:rsid w:val="000262C2"/>
    <w:rsid w:val="00030530"/>
    <w:rsid w:val="00032860"/>
    <w:rsid w:val="00037D97"/>
    <w:rsid w:val="00040FA0"/>
    <w:rsid w:val="0004540C"/>
    <w:rsid w:val="0005208A"/>
    <w:rsid w:val="00053430"/>
    <w:rsid w:val="000566D1"/>
    <w:rsid w:val="00056FDA"/>
    <w:rsid w:val="000577F7"/>
    <w:rsid w:val="00086716"/>
    <w:rsid w:val="00091714"/>
    <w:rsid w:val="00095E07"/>
    <w:rsid w:val="000A5AE1"/>
    <w:rsid w:val="000A6096"/>
    <w:rsid w:val="000B09ED"/>
    <w:rsid w:val="000B2EAF"/>
    <w:rsid w:val="000D05BC"/>
    <w:rsid w:val="000D1228"/>
    <w:rsid w:val="000D40E6"/>
    <w:rsid w:val="000D50C0"/>
    <w:rsid w:val="000D539C"/>
    <w:rsid w:val="000D5EB7"/>
    <w:rsid w:val="000F02B8"/>
    <w:rsid w:val="00102CE0"/>
    <w:rsid w:val="00102F28"/>
    <w:rsid w:val="0012303F"/>
    <w:rsid w:val="00124535"/>
    <w:rsid w:val="00134C57"/>
    <w:rsid w:val="00137469"/>
    <w:rsid w:val="00142360"/>
    <w:rsid w:val="001434E6"/>
    <w:rsid w:val="00152F99"/>
    <w:rsid w:val="00154737"/>
    <w:rsid w:val="00155C8B"/>
    <w:rsid w:val="0017218C"/>
    <w:rsid w:val="0017691F"/>
    <w:rsid w:val="001772FC"/>
    <w:rsid w:val="001821A1"/>
    <w:rsid w:val="00185F19"/>
    <w:rsid w:val="001A2B0F"/>
    <w:rsid w:val="001B4DD7"/>
    <w:rsid w:val="001C1114"/>
    <w:rsid w:val="001C32DC"/>
    <w:rsid w:val="001D5AA4"/>
    <w:rsid w:val="001E6AA2"/>
    <w:rsid w:val="001E7F35"/>
    <w:rsid w:val="001F25A7"/>
    <w:rsid w:val="001F325C"/>
    <w:rsid w:val="001F6034"/>
    <w:rsid w:val="00211C5A"/>
    <w:rsid w:val="002125D9"/>
    <w:rsid w:val="00214346"/>
    <w:rsid w:val="00214FCB"/>
    <w:rsid w:val="002411D6"/>
    <w:rsid w:val="00241D71"/>
    <w:rsid w:val="00245AE3"/>
    <w:rsid w:val="00246BA7"/>
    <w:rsid w:val="00247DA0"/>
    <w:rsid w:val="002507E9"/>
    <w:rsid w:val="0027532D"/>
    <w:rsid w:val="002764B7"/>
    <w:rsid w:val="00287935"/>
    <w:rsid w:val="0029268B"/>
    <w:rsid w:val="002A2852"/>
    <w:rsid w:val="002B043E"/>
    <w:rsid w:val="002B1E4D"/>
    <w:rsid w:val="002B26FC"/>
    <w:rsid w:val="002C5926"/>
    <w:rsid w:val="002D7325"/>
    <w:rsid w:val="002E0109"/>
    <w:rsid w:val="00300937"/>
    <w:rsid w:val="003075CB"/>
    <w:rsid w:val="00307794"/>
    <w:rsid w:val="00307F5F"/>
    <w:rsid w:val="00332269"/>
    <w:rsid w:val="00355903"/>
    <w:rsid w:val="00361C78"/>
    <w:rsid w:val="003802C6"/>
    <w:rsid w:val="00383DF1"/>
    <w:rsid w:val="0038447A"/>
    <w:rsid w:val="00395DC6"/>
    <w:rsid w:val="003A1EE1"/>
    <w:rsid w:val="003A4B03"/>
    <w:rsid w:val="003A60C3"/>
    <w:rsid w:val="003D7D8D"/>
    <w:rsid w:val="003F44C8"/>
    <w:rsid w:val="003F7FC1"/>
    <w:rsid w:val="004171A9"/>
    <w:rsid w:val="00427DA2"/>
    <w:rsid w:val="00455078"/>
    <w:rsid w:val="00460EA1"/>
    <w:rsid w:val="004643B6"/>
    <w:rsid w:val="00470EAC"/>
    <w:rsid w:val="004818D8"/>
    <w:rsid w:val="00487F7C"/>
    <w:rsid w:val="00492BD6"/>
    <w:rsid w:val="00492F0A"/>
    <w:rsid w:val="00494971"/>
    <w:rsid w:val="004A4E99"/>
    <w:rsid w:val="004C2155"/>
    <w:rsid w:val="004D65E0"/>
    <w:rsid w:val="004F2F4A"/>
    <w:rsid w:val="004F59DD"/>
    <w:rsid w:val="004F6AA0"/>
    <w:rsid w:val="00507D4F"/>
    <w:rsid w:val="00512740"/>
    <w:rsid w:val="005136C1"/>
    <w:rsid w:val="0052218B"/>
    <w:rsid w:val="00526FDE"/>
    <w:rsid w:val="005307D2"/>
    <w:rsid w:val="00547B73"/>
    <w:rsid w:val="005549B7"/>
    <w:rsid w:val="005562ED"/>
    <w:rsid w:val="00560EB0"/>
    <w:rsid w:val="00566567"/>
    <w:rsid w:val="00583677"/>
    <w:rsid w:val="00587D83"/>
    <w:rsid w:val="005909CE"/>
    <w:rsid w:val="00594B77"/>
    <w:rsid w:val="00597204"/>
    <w:rsid w:val="005A2955"/>
    <w:rsid w:val="005B322D"/>
    <w:rsid w:val="005D0BC3"/>
    <w:rsid w:val="005D32FA"/>
    <w:rsid w:val="005E2C42"/>
    <w:rsid w:val="005E5AAC"/>
    <w:rsid w:val="005F22CA"/>
    <w:rsid w:val="005F3C84"/>
    <w:rsid w:val="005F66E2"/>
    <w:rsid w:val="006005DF"/>
    <w:rsid w:val="00616D7B"/>
    <w:rsid w:val="006176FD"/>
    <w:rsid w:val="00634B47"/>
    <w:rsid w:val="006509AD"/>
    <w:rsid w:val="006741E4"/>
    <w:rsid w:val="00675E3B"/>
    <w:rsid w:val="00682C5D"/>
    <w:rsid w:val="00685455"/>
    <w:rsid w:val="0068751C"/>
    <w:rsid w:val="006A5ACE"/>
    <w:rsid w:val="006A7417"/>
    <w:rsid w:val="006B2196"/>
    <w:rsid w:val="006B61C7"/>
    <w:rsid w:val="006C02EC"/>
    <w:rsid w:val="006C37B7"/>
    <w:rsid w:val="006C3B48"/>
    <w:rsid w:val="006C721A"/>
    <w:rsid w:val="006D0DBA"/>
    <w:rsid w:val="006D2D97"/>
    <w:rsid w:val="00703B87"/>
    <w:rsid w:val="00727C70"/>
    <w:rsid w:val="00730304"/>
    <w:rsid w:val="007304B1"/>
    <w:rsid w:val="0073223A"/>
    <w:rsid w:val="0074057F"/>
    <w:rsid w:val="00743C7A"/>
    <w:rsid w:val="007460D8"/>
    <w:rsid w:val="00747413"/>
    <w:rsid w:val="007553B5"/>
    <w:rsid w:val="00755972"/>
    <w:rsid w:val="0076059E"/>
    <w:rsid w:val="00766AF5"/>
    <w:rsid w:val="00767E66"/>
    <w:rsid w:val="00772C08"/>
    <w:rsid w:val="00777C1A"/>
    <w:rsid w:val="00783162"/>
    <w:rsid w:val="0078605F"/>
    <w:rsid w:val="007B71A4"/>
    <w:rsid w:val="007C153F"/>
    <w:rsid w:val="007C6223"/>
    <w:rsid w:val="007E5422"/>
    <w:rsid w:val="007F15CC"/>
    <w:rsid w:val="007F7A9B"/>
    <w:rsid w:val="008050C6"/>
    <w:rsid w:val="00811AD8"/>
    <w:rsid w:val="00813CC7"/>
    <w:rsid w:val="00815215"/>
    <w:rsid w:val="008162D3"/>
    <w:rsid w:val="00834EA5"/>
    <w:rsid w:val="00846A28"/>
    <w:rsid w:val="008505B3"/>
    <w:rsid w:val="0086051C"/>
    <w:rsid w:val="00871394"/>
    <w:rsid w:val="00876152"/>
    <w:rsid w:val="00877571"/>
    <w:rsid w:val="00882311"/>
    <w:rsid w:val="00890569"/>
    <w:rsid w:val="00895E77"/>
    <w:rsid w:val="008A33D5"/>
    <w:rsid w:val="008A4F85"/>
    <w:rsid w:val="008B4180"/>
    <w:rsid w:val="008D0E84"/>
    <w:rsid w:val="008F23AE"/>
    <w:rsid w:val="00903979"/>
    <w:rsid w:val="00945A99"/>
    <w:rsid w:val="00971091"/>
    <w:rsid w:val="00977680"/>
    <w:rsid w:val="0098363E"/>
    <w:rsid w:val="00983970"/>
    <w:rsid w:val="00984F08"/>
    <w:rsid w:val="009E6299"/>
    <w:rsid w:val="009F02EC"/>
    <w:rsid w:val="009F3EF5"/>
    <w:rsid w:val="00A11179"/>
    <w:rsid w:val="00A1458A"/>
    <w:rsid w:val="00A17F8B"/>
    <w:rsid w:val="00A33984"/>
    <w:rsid w:val="00A3443A"/>
    <w:rsid w:val="00A475FE"/>
    <w:rsid w:val="00A602B4"/>
    <w:rsid w:val="00A60C70"/>
    <w:rsid w:val="00A70208"/>
    <w:rsid w:val="00A70644"/>
    <w:rsid w:val="00A77F96"/>
    <w:rsid w:val="00A841E4"/>
    <w:rsid w:val="00A946B0"/>
    <w:rsid w:val="00AA012B"/>
    <w:rsid w:val="00AA1251"/>
    <w:rsid w:val="00AB0CE8"/>
    <w:rsid w:val="00AB7349"/>
    <w:rsid w:val="00AC1B48"/>
    <w:rsid w:val="00AC2F17"/>
    <w:rsid w:val="00AD1E2B"/>
    <w:rsid w:val="00AE5020"/>
    <w:rsid w:val="00AF3057"/>
    <w:rsid w:val="00B05D9B"/>
    <w:rsid w:val="00B21C06"/>
    <w:rsid w:val="00B2236C"/>
    <w:rsid w:val="00B27E5C"/>
    <w:rsid w:val="00B43277"/>
    <w:rsid w:val="00B45243"/>
    <w:rsid w:val="00B50543"/>
    <w:rsid w:val="00B50553"/>
    <w:rsid w:val="00B51C18"/>
    <w:rsid w:val="00B55551"/>
    <w:rsid w:val="00B565A2"/>
    <w:rsid w:val="00B724E3"/>
    <w:rsid w:val="00B8127F"/>
    <w:rsid w:val="00B9597A"/>
    <w:rsid w:val="00BA1165"/>
    <w:rsid w:val="00BA55A6"/>
    <w:rsid w:val="00BB00F4"/>
    <w:rsid w:val="00BC6A7A"/>
    <w:rsid w:val="00BD042F"/>
    <w:rsid w:val="00BD4DB3"/>
    <w:rsid w:val="00BE612C"/>
    <w:rsid w:val="00BF160F"/>
    <w:rsid w:val="00C05FCE"/>
    <w:rsid w:val="00C21201"/>
    <w:rsid w:val="00C238B6"/>
    <w:rsid w:val="00C26403"/>
    <w:rsid w:val="00C378F6"/>
    <w:rsid w:val="00C42B01"/>
    <w:rsid w:val="00C46950"/>
    <w:rsid w:val="00C63A6E"/>
    <w:rsid w:val="00C670E8"/>
    <w:rsid w:val="00C67A92"/>
    <w:rsid w:val="00C80B31"/>
    <w:rsid w:val="00C85458"/>
    <w:rsid w:val="00C90D9A"/>
    <w:rsid w:val="00C921E7"/>
    <w:rsid w:val="00C96952"/>
    <w:rsid w:val="00CB71E9"/>
    <w:rsid w:val="00CC2CD8"/>
    <w:rsid w:val="00CD41F9"/>
    <w:rsid w:val="00CD52ED"/>
    <w:rsid w:val="00CE5232"/>
    <w:rsid w:val="00CF0627"/>
    <w:rsid w:val="00CF3669"/>
    <w:rsid w:val="00D03DA7"/>
    <w:rsid w:val="00D132CA"/>
    <w:rsid w:val="00D14803"/>
    <w:rsid w:val="00D1723D"/>
    <w:rsid w:val="00D17FB9"/>
    <w:rsid w:val="00D306AD"/>
    <w:rsid w:val="00D41226"/>
    <w:rsid w:val="00D730C1"/>
    <w:rsid w:val="00D819D3"/>
    <w:rsid w:val="00D9071A"/>
    <w:rsid w:val="00D96F20"/>
    <w:rsid w:val="00DA1485"/>
    <w:rsid w:val="00DD065D"/>
    <w:rsid w:val="00DD07EC"/>
    <w:rsid w:val="00DD2305"/>
    <w:rsid w:val="00DD7104"/>
    <w:rsid w:val="00DE6260"/>
    <w:rsid w:val="00DE687B"/>
    <w:rsid w:val="00DF75FF"/>
    <w:rsid w:val="00E138FD"/>
    <w:rsid w:val="00E16CEE"/>
    <w:rsid w:val="00E203AD"/>
    <w:rsid w:val="00E22785"/>
    <w:rsid w:val="00E25C08"/>
    <w:rsid w:val="00E30150"/>
    <w:rsid w:val="00E321FB"/>
    <w:rsid w:val="00E361DA"/>
    <w:rsid w:val="00E54CC5"/>
    <w:rsid w:val="00E55849"/>
    <w:rsid w:val="00E638FF"/>
    <w:rsid w:val="00E66C22"/>
    <w:rsid w:val="00E7609B"/>
    <w:rsid w:val="00E823AB"/>
    <w:rsid w:val="00E8458F"/>
    <w:rsid w:val="00EB04DB"/>
    <w:rsid w:val="00EB4049"/>
    <w:rsid w:val="00EC68B7"/>
    <w:rsid w:val="00ED2096"/>
    <w:rsid w:val="00ED5247"/>
    <w:rsid w:val="00EE017B"/>
    <w:rsid w:val="00EE045A"/>
    <w:rsid w:val="00EE31BD"/>
    <w:rsid w:val="00EF2772"/>
    <w:rsid w:val="00F010B2"/>
    <w:rsid w:val="00F03DBF"/>
    <w:rsid w:val="00F056A6"/>
    <w:rsid w:val="00F21BF6"/>
    <w:rsid w:val="00F30F7E"/>
    <w:rsid w:val="00F33AE4"/>
    <w:rsid w:val="00F412DB"/>
    <w:rsid w:val="00F56EF1"/>
    <w:rsid w:val="00F61430"/>
    <w:rsid w:val="00F81FF4"/>
    <w:rsid w:val="00F90C28"/>
    <w:rsid w:val="00FA5EE7"/>
    <w:rsid w:val="00FA70EC"/>
    <w:rsid w:val="00FB71FB"/>
    <w:rsid w:val="00FC3235"/>
    <w:rsid w:val="00FD6B1B"/>
    <w:rsid w:val="00FE3B1C"/>
    <w:rsid w:val="00FF3A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472A5B"/>
  <w15:docId w15:val="{BA053D42-FC35-4E1E-97E1-D12A63ED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eastAsia="es-ES"/>
    </w:rPr>
  </w:style>
  <w:style w:type="paragraph" w:styleId="Ttulo1">
    <w:name w:val="heading 1"/>
    <w:basedOn w:val="Normal"/>
    <w:next w:val="Normal"/>
    <w:link w:val="Ttulo1Car"/>
    <w:uiPriority w:val="99"/>
    <w:qFormat/>
    <w:pPr>
      <w:keepNext/>
      <w:spacing w:line="480" w:lineRule="auto"/>
      <w:jc w:val="center"/>
      <w:outlineLvl w:val="0"/>
    </w:pPr>
    <w:rPr>
      <w:rFonts w:ascii="Cambria" w:hAnsi="Cambria"/>
      <w:b/>
      <w:bCs/>
      <w:kern w:val="32"/>
      <w:sz w:val="32"/>
      <w:szCs w:val="32"/>
      <w:lang w:eastAsia="x-none"/>
    </w:rPr>
  </w:style>
  <w:style w:type="paragraph" w:styleId="Ttulo2">
    <w:name w:val="heading 2"/>
    <w:basedOn w:val="Normal"/>
    <w:next w:val="Normal"/>
    <w:link w:val="Ttulo2Car"/>
    <w:uiPriority w:val="99"/>
    <w:qFormat/>
    <w:pPr>
      <w:keepNext/>
      <w:outlineLvl w:val="1"/>
    </w:pPr>
    <w:rPr>
      <w:rFonts w:ascii="Cambria" w:hAnsi="Cambria"/>
      <w:b/>
      <w:bCs/>
      <w:i/>
      <w:iCs/>
      <w:sz w:val="28"/>
      <w:szCs w:val="28"/>
      <w:lang w:eastAsia="x-none"/>
    </w:rPr>
  </w:style>
  <w:style w:type="paragraph" w:styleId="Ttulo3">
    <w:name w:val="heading 3"/>
    <w:basedOn w:val="Normal"/>
    <w:next w:val="Normal"/>
    <w:link w:val="Ttulo3Car"/>
    <w:uiPriority w:val="99"/>
    <w:qFormat/>
    <w:pPr>
      <w:keepNext/>
      <w:jc w:val="both"/>
      <w:outlineLvl w:val="2"/>
    </w:pPr>
    <w:rPr>
      <w:rFonts w:ascii="Cambria" w:hAnsi="Cambria"/>
      <w:b/>
      <w:bCs/>
      <w:sz w:val="26"/>
      <w:szCs w:val="26"/>
      <w:lang w:eastAsia="x-none"/>
    </w:rPr>
  </w:style>
  <w:style w:type="paragraph" w:styleId="Ttulo4">
    <w:name w:val="heading 4"/>
    <w:basedOn w:val="Normal"/>
    <w:next w:val="Normal"/>
    <w:link w:val="Ttulo4Car"/>
    <w:uiPriority w:val="99"/>
    <w:qFormat/>
    <w:pPr>
      <w:keepNext/>
      <w:jc w:val="both"/>
      <w:outlineLvl w:val="3"/>
    </w:pPr>
    <w:rPr>
      <w:rFonts w:ascii="Calibri" w:hAnsi="Calibri"/>
      <w:b/>
      <w:bCs/>
      <w:sz w:val="28"/>
      <w:szCs w:val="28"/>
      <w:lang w:eastAsia="x-none"/>
    </w:rPr>
  </w:style>
  <w:style w:type="paragraph" w:styleId="Ttulo5">
    <w:name w:val="heading 5"/>
    <w:basedOn w:val="Normal"/>
    <w:next w:val="Normal"/>
    <w:link w:val="Ttulo5Car"/>
    <w:uiPriority w:val="99"/>
    <w:qFormat/>
    <w:pPr>
      <w:keepNext/>
      <w:jc w:val="both"/>
      <w:outlineLvl w:val="4"/>
    </w:pPr>
    <w:rPr>
      <w:rFonts w:ascii="Calibri" w:hAnsi="Calibri"/>
      <w:b/>
      <w:bCs/>
      <w:i/>
      <w:iCs/>
      <w:sz w:val="26"/>
      <w:szCs w:val="26"/>
      <w:lang w:eastAsia="x-none"/>
    </w:rPr>
  </w:style>
  <w:style w:type="paragraph" w:styleId="Ttulo6">
    <w:name w:val="heading 6"/>
    <w:basedOn w:val="Normal"/>
    <w:next w:val="Normal"/>
    <w:link w:val="Ttulo6Car"/>
    <w:uiPriority w:val="99"/>
    <w:qFormat/>
    <w:pPr>
      <w:keepNext/>
      <w:outlineLvl w:val="5"/>
    </w:pPr>
    <w:rPr>
      <w:rFonts w:ascii="Calibri" w:hAnsi="Calibri"/>
      <w:b/>
      <w:bCs/>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uiPriority w:val="9"/>
    <w:rPr>
      <w:rFonts w:ascii="Cambria" w:eastAsia="Times New Roman" w:hAnsi="Cambria" w:cs="Times New Roman"/>
      <w:b/>
      <w:bCs/>
      <w:kern w:val="32"/>
      <w:sz w:val="32"/>
      <w:szCs w:val="32"/>
      <w:lang w:val="es-ES_tradnl" w:eastAsia="es-ES"/>
    </w:rPr>
  </w:style>
  <w:style w:type="character" w:customStyle="1" w:styleId="Heading2Char">
    <w:name w:val="Heading 2 Char"/>
    <w:uiPriority w:val="9"/>
    <w:semiHidden/>
    <w:rPr>
      <w:rFonts w:ascii="Cambria" w:eastAsia="Times New Roman" w:hAnsi="Cambria" w:cs="Times New Roman"/>
      <w:b/>
      <w:bCs/>
      <w:i/>
      <w:iCs/>
      <w:sz w:val="28"/>
      <w:szCs w:val="28"/>
      <w:lang w:val="es-ES_tradnl" w:eastAsia="es-ES"/>
    </w:rPr>
  </w:style>
  <w:style w:type="character" w:customStyle="1" w:styleId="Heading3Char">
    <w:name w:val="Heading 3 Char"/>
    <w:uiPriority w:val="9"/>
    <w:semiHidden/>
    <w:rPr>
      <w:rFonts w:ascii="Cambria" w:eastAsia="Times New Roman" w:hAnsi="Cambria" w:cs="Times New Roman"/>
      <w:b/>
      <w:bCs/>
      <w:sz w:val="26"/>
      <w:szCs w:val="26"/>
      <w:lang w:val="es-ES_tradnl" w:eastAsia="es-ES"/>
    </w:rPr>
  </w:style>
  <w:style w:type="character" w:customStyle="1" w:styleId="Heading4Char">
    <w:name w:val="Heading 4 Char"/>
    <w:uiPriority w:val="9"/>
    <w:semiHidden/>
    <w:rPr>
      <w:rFonts w:ascii="Calibri" w:eastAsia="Times New Roman" w:hAnsi="Calibri" w:cs="Times New Roman"/>
      <w:b/>
      <w:bCs/>
      <w:sz w:val="28"/>
      <w:szCs w:val="28"/>
      <w:lang w:val="es-ES_tradnl" w:eastAsia="es-ES"/>
    </w:rPr>
  </w:style>
  <w:style w:type="character" w:customStyle="1" w:styleId="Heading5Char">
    <w:name w:val="Heading 5 Char"/>
    <w:uiPriority w:val="9"/>
    <w:semiHidden/>
    <w:rPr>
      <w:rFonts w:ascii="Calibri" w:eastAsia="Times New Roman" w:hAnsi="Calibri" w:cs="Times New Roman"/>
      <w:b/>
      <w:bCs/>
      <w:i/>
      <w:iCs/>
      <w:sz w:val="26"/>
      <w:szCs w:val="26"/>
      <w:lang w:val="es-ES_tradnl" w:eastAsia="es-ES"/>
    </w:rPr>
  </w:style>
  <w:style w:type="character" w:customStyle="1" w:styleId="Heading6Char">
    <w:name w:val="Heading 6 Char"/>
    <w:uiPriority w:val="9"/>
    <w:semiHidden/>
    <w:rPr>
      <w:rFonts w:ascii="Calibri" w:eastAsia="Times New Roman" w:hAnsi="Calibri" w:cs="Times New Roman"/>
      <w:b/>
      <w:bCs/>
      <w:lang w:val="es-ES_tradnl" w:eastAsia="es-ES"/>
    </w:rPr>
  </w:style>
  <w:style w:type="character" w:customStyle="1" w:styleId="Ttulo1Car">
    <w:name w:val="Título 1 Car"/>
    <w:link w:val="Ttulo1"/>
    <w:uiPriority w:val="99"/>
    <w:locked/>
    <w:rPr>
      <w:rFonts w:ascii="Cambria" w:eastAsia="Times New Roman" w:hAnsi="Cambria" w:cs="Cambria"/>
      <w:b/>
      <w:bCs/>
      <w:kern w:val="32"/>
      <w:sz w:val="32"/>
      <w:szCs w:val="32"/>
      <w:lang w:val="es-ES_tradnl" w:eastAsia="x-none"/>
    </w:rPr>
  </w:style>
  <w:style w:type="character" w:customStyle="1" w:styleId="Ttulo2Car">
    <w:name w:val="Título 2 Car"/>
    <w:link w:val="Ttulo2"/>
    <w:uiPriority w:val="99"/>
    <w:semiHidden/>
    <w:locked/>
    <w:rPr>
      <w:rFonts w:ascii="Cambria" w:eastAsia="Times New Roman" w:hAnsi="Cambria" w:cs="Cambria"/>
      <w:b/>
      <w:bCs/>
      <w:i/>
      <w:iCs/>
      <w:sz w:val="28"/>
      <w:szCs w:val="28"/>
      <w:lang w:val="es-ES_tradnl" w:eastAsia="x-none"/>
    </w:rPr>
  </w:style>
  <w:style w:type="character" w:customStyle="1" w:styleId="Ttulo3Car">
    <w:name w:val="Título 3 Car"/>
    <w:link w:val="Ttulo3"/>
    <w:uiPriority w:val="99"/>
    <w:semiHidden/>
    <w:locked/>
    <w:rPr>
      <w:rFonts w:ascii="Cambria" w:eastAsia="Times New Roman" w:hAnsi="Cambria" w:cs="Cambria"/>
      <w:b/>
      <w:bCs/>
      <w:sz w:val="26"/>
      <w:szCs w:val="26"/>
      <w:lang w:val="es-ES_tradnl" w:eastAsia="x-none"/>
    </w:rPr>
  </w:style>
  <w:style w:type="character" w:customStyle="1" w:styleId="Ttulo4Car">
    <w:name w:val="Título 4 Car"/>
    <w:link w:val="Ttulo4"/>
    <w:uiPriority w:val="99"/>
    <w:semiHidden/>
    <w:locked/>
    <w:rPr>
      <w:rFonts w:ascii="Calibri" w:eastAsia="Times New Roman" w:hAnsi="Calibri" w:cs="Calibri"/>
      <w:b/>
      <w:bCs/>
      <w:sz w:val="28"/>
      <w:szCs w:val="28"/>
      <w:lang w:val="es-ES_tradnl" w:eastAsia="x-none"/>
    </w:rPr>
  </w:style>
  <w:style w:type="character" w:customStyle="1" w:styleId="Ttulo5Car">
    <w:name w:val="Título 5 Car"/>
    <w:link w:val="Ttulo5"/>
    <w:uiPriority w:val="99"/>
    <w:semiHidden/>
    <w:locked/>
    <w:rPr>
      <w:rFonts w:ascii="Calibri" w:eastAsia="Times New Roman" w:hAnsi="Calibri" w:cs="Calibri"/>
      <w:b/>
      <w:bCs/>
      <w:i/>
      <w:iCs/>
      <w:sz w:val="26"/>
      <w:szCs w:val="26"/>
      <w:lang w:val="es-ES_tradnl" w:eastAsia="x-none"/>
    </w:rPr>
  </w:style>
  <w:style w:type="character" w:customStyle="1" w:styleId="Ttulo6Car">
    <w:name w:val="Título 6 Car"/>
    <w:link w:val="Ttulo6"/>
    <w:uiPriority w:val="99"/>
    <w:semiHidden/>
    <w:locked/>
    <w:rPr>
      <w:rFonts w:ascii="Calibri" w:eastAsia="Times New Roman" w:hAnsi="Calibri" w:cs="Calibri"/>
      <w:b/>
      <w:bCs/>
      <w:lang w:val="es-ES_tradnl" w:eastAsia="x-none"/>
    </w:rPr>
  </w:style>
  <w:style w:type="paragraph" w:styleId="Encabezado">
    <w:name w:val="header"/>
    <w:basedOn w:val="Normal"/>
    <w:link w:val="EncabezadoCar"/>
    <w:uiPriority w:val="99"/>
    <w:pPr>
      <w:tabs>
        <w:tab w:val="center" w:pos="4252"/>
        <w:tab w:val="right" w:pos="8504"/>
      </w:tabs>
    </w:pPr>
    <w:rPr>
      <w:lang w:eastAsia="x-none"/>
    </w:rPr>
  </w:style>
  <w:style w:type="character" w:customStyle="1" w:styleId="HeaderChar">
    <w:name w:val="Header Char"/>
    <w:uiPriority w:val="99"/>
    <w:semiHidden/>
    <w:rPr>
      <w:sz w:val="20"/>
      <w:szCs w:val="20"/>
      <w:lang w:val="es-ES_tradnl" w:eastAsia="es-ES"/>
    </w:rPr>
  </w:style>
  <w:style w:type="character" w:customStyle="1" w:styleId="EncabezadoCar">
    <w:name w:val="Encabezado Car"/>
    <w:link w:val="Encabezado"/>
    <w:uiPriority w:val="99"/>
    <w:semiHidden/>
    <w:locked/>
    <w:rPr>
      <w:sz w:val="20"/>
      <w:szCs w:val="20"/>
      <w:lang w:val="es-ES_tradnl" w:eastAsia="x-none"/>
    </w:rPr>
  </w:style>
  <w:style w:type="paragraph" w:styleId="Piedepgina">
    <w:name w:val="footer"/>
    <w:basedOn w:val="Normal"/>
    <w:link w:val="PiedepginaCar"/>
    <w:uiPriority w:val="99"/>
    <w:pPr>
      <w:tabs>
        <w:tab w:val="center" w:pos="4252"/>
        <w:tab w:val="right" w:pos="8504"/>
      </w:tabs>
    </w:pPr>
    <w:rPr>
      <w:lang w:eastAsia="x-none"/>
    </w:rPr>
  </w:style>
  <w:style w:type="character" w:customStyle="1" w:styleId="FooterChar">
    <w:name w:val="Footer Char"/>
    <w:uiPriority w:val="99"/>
    <w:semiHidden/>
    <w:rPr>
      <w:sz w:val="20"/>
      <w:szCs w:val="20"/>
      <w:lang w:val="es-ES_tradnl" w:eastAsia="es-ES"/>
    </w:rPr>
  </w:style>
  <w:style w:type="character" w:customStyle="1" w:styleId="PiedepginaCar">
    <w:name w:val="Pie de página Car"/>
    <w:link w:val="Piedepgina"/>
    <w:uiPriority w:val="99"/>
    <w:locked/>
    <w:rPr>
      <w:sz w:val="20"/>
      <w:szCs w:val="20"/>
      <w:lang w:val="es-ES_tradnl" w:eastAsia="x-none"/>
    </w:rPr>
  </w:style>
  <w:style w:type="paragraph" w:styleId="Mapadeldocumento">
    <w:name w:val="Document Map"/>
    <w:basedOn w:val="Normal"/>
    <w:link w:val="MapadeldocumentoCar"/>
    <w:uiPriority w:val="99"/>
    <w:semiHidden/>
    <w:pPr>
      <w:shd w:val="clear" w:color="auto" w:fill="000080"/>
    </w:pPr>
    <w:rPr>
      <w:rFonts w:ascii="Tahoma" w:hAnsi="Tahoma"/>
      <w:sz w:val="16"/>
      <w:szCs w:val="16"/>
      <w:lang w:eastAsia="x-none"/>
    </w:rPr>
  </w:style>
  <w:style w:type="character" w:customStyle="1" w:styleId="DocumentMapChar">
    <w:name w:val="Document Map Char"/>
    <w:uiPriority w:val="99"/>
    <w:semiHidden/>
    <w:rPr>
      <w:sz w:val="0"/>
      <w:szCs w:val="0"/>
      <w:lang w:val="es-ES_tradnl" w:eastAsia="es-ES"/>
    </w:rPr>
  </w:style>
  <w:style w:type="character" w:customStyle="1" w:styleId="MapadeldocumentoCar">
    <w:name w:val="Mapa del documento Car"/>
    <w:link w:val="Mapadeldocumento"/>
    <w:uiPriority w:val="99"/>
    <w:semiHidden/>
    <w:locked/>
    <w:rPr>
      <w:rFonts w:ascii="Tahoma" w:hAnsi="Tahoma" w:cs="Tahoma"/>
      <w:sz w:val="16"/>
      <w:szCs w:val="16"/>
      <w:lang w:val="es-ES_tradnl" w:eastAsia="x-none"/>
    </w:rPr>
  </w:style>
  <w:style w:type="paragraph" w:styleId="Textodeglobo">
    <w:name w:val="Balloon Text"/>
    <w:basedOn w:val="Normal"/>
    <w:link w:val="TextodegloboCar"/>
    <w:uiPriority w:val="99"/>
    <w:semiHidden/>
    <w:rPr>
      <w:rFonts w:ascii="Tahoma" w:hAnsi="Tahoma"/>
      <w:sz w:val="16"/>
      <w:szCs w:val="16"/>
      <w:lang w:eastAsia="x-none"/>
    </w:rPr>
  </w:style>
  <w:style w:type="character" w:customStyle="1" w:styleId="BalloonTextChar">
    <w:name w:val="Balloon Text Char"/>
    <w:uiPriority w:val="99"/>
    <w:semiHidden/>
    <w:rPr>
      <w:sz w:val="0"/>
      <w:szCs w:val="0"/>
      <w:lang w:val="es-ES_tradnl" w:eastAsia="es-ES"/>
    </w:rPr>
  </w:style>
  <w:style w:type="character" w:customStyle="1" w:styleId="TextodegloboCar">
    <w:name w:val="Texto de globo Car"/>
    <w:link w:val="Textodeglobo"/>
    <w:uiPriority w:val="99"/>
    <w:semiHidden/>
    <w:locked/>
    <w:rPr>
      <w:rFonts w:ascii="Tahoma" w:hAnsi="Tahoma" w:cs="Tahoma"/>
      <w:sz w:val="16"/>
      <w:szCs w:val="16"/>
      <w:lang w:val="es-ES_tradnl" w:eastAsia="x-none"/>
    </w:rPr>
  </w:style>
  <w:style w:type="character" w:styleId="Hipervnculo">
    <w:name w:val="Hyperlink"/>
    <w:uiPriority w:val="99"/>
    <w:rPr>
      <w:color w:val="0000FF"/>
      <w:u w:val="single"/>
    </w:rPr>
  </w:style>
  <w:style w:type="paragraph" w:customStyle="1" w:styleId="estilo4">
    <w:name w:val="estilo4"/>
    <w:basedOn w:val="Normal"/>
    <w:uiPriority w:val="99"/>
    <w:pPr>
      <w:spacing w:before="100" w:beforeAutospacing="1" w:after="100" w:afterAutospacing="1"/>
    </w:pPr>
    <w:rPr>
      <w:color w:val="000000"/>
      <w:sz w:val="24"/>
      <w:szCs w:val="24"/>
      <w:lang w:val="es-ES"/>
    </w:rPr>
  </w:style>
  <w:style w:type="paragraph" w:customStyle="1" w:styleId="estilo5">
    <w:name w:val="estilo5"/>
    <w:basedOn w:val="Normal"/>
    <w:uiPriority w:val="99"/>
    <w:pPr>
      <w:spacing w:before="100" w:beforeAutospacing="1" w:after="100" w:afterAutospacing="1"/>
    </w:pPr>
    <w:rPr>
      <w:sz w:val="24"/>
      <w:szCs w:val="24"/>
      <w:lang w:val="es-ES"/>
    </w:rPr>
  </w:style>
  <w:style w:type="character" w:customStyle="1" w:styleId="estilo61">
    <w:name w:val="estilo61"/>
    <w:uiPriority w:val="99"/>
    <w:rPr>
      <w:b/>
      <w:bCs/>
      <w:color w:val="FF0000"/>
    </w:rPr>
  </w:style>
  <w:style w:type="paragraph" w:styleId="NormalWeb">
    <w:name w:val="Normal (Web)"/>
    <w:basedOn w:val="Normal"/>
    <w:uiPriority w:val="99"/>
    <w:pPr>
      <w:spacing w:before="100" w:beforeAutospacing="1" w:after="100" w:afterAutospacing="1"/>
    </w:pPr>
    <w:rPr>
      <w:sz w:val="24"/>
      <w:szCs w:val="24"/>
      <w:lang w:val="es-ES"/>
    </w:rPr>
  </w:style>
  <w:style w:type="table" w:styleId="Tablaconcuadrcula">
    <w:name w:val="Table Grid"/>
    <w:basedOn w:val="Tabla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6C3B48"/>
    <w:rPr>
      <w:sz w:val="16"/>
      <w:szCs w:val="16"/>
    </w:rPr>
  </w:style>
  <w:style w:type="paragraph" w:styleId="Textocomentario">
    <w:name w:val="annotation text"/>
    <w:basedOn w:val="Normal"/>
    <w:link w:val="TextocomentarioCar"/>
    <w:uiPriority w:val="99"/>
    <w:semiHidden/>
    <w:unhideWhenUsed/>
    <w:rsid w:val="006C3B48"/>
  </w:style>
  <w:style w:type="character" w:customStyle="1" w:styleId="TextocomentarioCar">
    <w:name w:val="Texto comentario Car"/>
    <w:link w:val="Textocomentario"/>
    <w:uiPriority w:val="99"/>
    <w:semiHidden/>
    <w:rsid w:val="006C3B48"/>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6C3B48"/>
    <w:rPr>
      <w:b/>
      <w:bCs/>
    </w:rPr>
  </w:style>
  <w:style w:type="character" w:customStyle="1" w:styleId="AsuntodelcomentarioCar">
    <w:name w:val="Asunto del comentario Car"/>
    <w:link w:val="Asuntodelcomentario"/>
    <w:uiPriority w:val="99"/>
    <w:semiHidden/>
    <w:rsid w:val="006C3B48"/>
    <w:rPr>
      <w:b/>
      <w:bCs/>
      <w:lang w:val="es-ES_tradnl" w:eastAsia="es-ES"/>
    </w:rPr>
  </w:style>
  <w:style w:type="paragraph" w:customStyle="1" w:styleId="Default">
    <w:name w:val="Default"/>
    <w:rsid w:val="00E138FD"/>
    <w:pPr>
      <w:autoSpaceDE w:val="0"/>
      <w:autoSpaceDN w:val="0"/>
      <w:adjustRightInd w:val="0"/>
    </w:pPr>
    <w:rPr>
      <w:rFonts w:ascii="Arial" w:eastAsia="Calibri" w:hAnsi="Arial" w:cs="Arial"/>
      <w:color w:val="000000"/>
      <w:sz w:val="24"/>
      <w:szCs w:val="24"/>
      <w:lang w:val="es-ES" w:eastAsia="en-US"/>
    </w:rPr>
  </w:style>
  <w:style w:type="table" w:styleId="Sombreadoclaro-nfasis1">
    <w:name w:val="Light Shading Accent 1"/>
    <w:basedOn w:val="Tablanormal"/>
    <w:uiPriority w:val="60"/>
    <w:rsid w:val="00EE017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tulo">
    <w:name w:val="Title"/>
    <w:basedOn w:val="Normal"/>
    <w:next w:val="Normal"/>
    <w:link w:val="TtuloCar"/>
    <w:uiPriority w:val="10"/>
    <w:qFormat/>
    <w:rsid w:val="00EE017B"/>
    <w:pPr>
      <w:spacing w:before="240" w:after="60"/>
      <w:jc w:val="center"/>
      <w:outlineLvl w:val="0"/>
    </w:pPr>
    <w:rPr>
      <w:rFonts w:ascii="Cambria" w:hAnsi="Cambria"/>
      <w:b/>
      <w:bCs/>
      <w:kern w:val="28"/>
      <w:sz w:val="32"/>
      <w:szCs w:val="32"/>
    </w:rPr>
  </w:style>
  <w:style w:type="character" w:customStyle="1" w:styleId="TtuloCar">
    <w:name w:val="Título Car"/>
    <w:link w:val="Ttulo"/>
    <w:uiPriority w:val="10"/>
    <w:rsid w:val="00EE017B"/>
    <w:rPr>
      <w:rFonts w:ascii="Cambria" w:eastAsia="Times New Roman" w:hAnsi="Cambria" w:cs="Times New Roman"/>
      <w:b/>
      <w:bCs/>
      <w:kern w:val="28"/>
      <w:sz w:val="32"/>
      <w:szCs w:val="32"/>
      <w:lang w:val="es-ES_tradnl" w:eastAsia="es-ES"/>
    </w:rPr>
  </w:style>
  <w:style w:type="paragraph" w:customStyle="1" w:styleId="piecuerpo2">
    <w:name w:val="piecuerpo2"/>
    <w:basedOn w:val="Normal"/>
    <w:rsid w:val="00214346"/>
    <w:pPr>
      <w:spacing w:after="100" w:afterAutospacing="1" w:line="225" w:lineRule="atLeast"/>
      <w:ind w:left="750"/>
      <w:textAlignment w:val="top"/>
    </w:pPr>
    <w:rPr>
      <w:rFonts w:ascii="Arial" w:hAnsi="Arial" w:cs="Arial"/>
      <w:color w:val="333333"/>
      <w:sz w:val="17"/>
      <w:szCs w:val="17"/>
      <w:lang w:val="es-CO" w:eastAsia="es-CO"/>
    </w:rPr>
  </w:style>
  <w:style w:type="character" w:customStyle="1" w:styleId="Mencinsinresolver1">
    <w:name w:val="Mención sin resolver1"/>
    <w:basedOn w:val="Fuentedeprrafopredeter"/>
    <w:uiPriority w:val="99"/>
    <w:semiHidden/>
    <w:unhideWhenUsed/>
    <w:rsid w:val="008505B3"/>
    <w:rPr>
      <w:color w:val="605E5C"/>
      <w:shd w:val="clear" w:color="auto" w:fill="E1DFDD"/>
    </w:rPr>
  </w:style>
  <w:style w:type="paragraph" w:styleId="Prrafodelista">
    <w:name w:val="List Paragraph"/>
    <w:aliases w:val="List1,LISTA,Párrafo de lista1,Párrafo de lista2,Ha,Resume Title,Bullet List,FooterText,numbered,List Paragraph1,Paragraphe de liste1,lp1,HOJA,Colorful List Accent 1,Colorful List - Accent 11,titulo 3,Colorful List - Accent 111,Bullets"/>
    <w:basedOn w:val="Normal"/>
    <w:link w:val="PrrafodelistaCar"/>
    <w:uiPriority w:val="34"/>
    <w:qFormat/>
    <w:rsid w:val="00460EA1"/>
    <w:pPr>
      <w:spacing w:after="200" w:line="276" w:lineRule="auto"/>
      <w:ind w:left="720"/>
      <w:contextualSpacing/>
    </w:pPr>
    <w:rPr>
      <w:rFonts w:ascii="Calibri" w:eastAsia="Calibri" w:hAnsi="Calibri"/>
      <w:sz w:val="22"/>
      <w:szCs w:val="22"/>
      <w:lang w:val="es-CO" w:eastAsia="en-US"/>
    </w:rPr>
  </w:style>
  <w:style w:type="character" w:customStyle="1" w:styleId="PrrafodelistaCar">
    <w:name w:val="Párrafo de lista Car"/>
    <w:aliases w:val="List1 Car,LISTA Car,Párrafo de lista1 Car,Párrafo de lista2 Car,Ha Car,Resume Title Car,Bullet List Car,FooterText Car,numbered Car,List Paragraph1 Car,Paragraphe de liste1 Car,lp1 Car,HOJA Car,Colorful List Accent 1 Car,Bullets Car"/>
    <w:basedOn w:val="Fuentedeprrafopredeter"/>
    <w:link w:val="Prrafodelista"/>
    <w:uiPriority w:val="34"/>
    <w:qFormat/>
    <w:rsid w:val="00460EA1"/>
    <w:rPr>
      <w:rFonts w:ascii="Calibri" w:eastAsia="Calibri" w:hAnsi="Calibri"/>
      <w:sz w:val="22"/>
      <w:szCs w:val="22"/>
      <w:lang w:eastAsia="en-U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 Car Car,Ca,f,ft,Texto nota pie2"/>
    <w:basedOn w:val="Normal"/>
    <w:link w:val="TextonotapieCar1"/>
    <w:qFormat/>
    <w:rsid w:val="00460EA1"/>
    <w:rPr>
      <w:lang w:val="es-ES"/>
    </w:rPr>
  </w:style>
  <w:style w:type="character" w:customStyle="1" w:styleId="TextonotapieCar">
    <w:name w:val="Texto nota pie Car"/>
    <w:basedOn w:val="Fuentedeprrafopredeter"/>
    <w:uiPriority w:val="99"/>
    <w:semiHidden/>
    <w:rsid w:val="00460EA1"/>
    <w:rPr>
      <w:lang w:val="es-ES_tradnl" w:eastAsia="es-ES"/>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FA Fu Car Car Car,Ca Car"/>
    <w:link w:val="Textonotapie"/>
    <w:rsid w:val="00460EA1"/>
    <w:rPr>
      <w:lang w:val="es-ES" w:eastAsia="es-ES"/>
    </w:rPr>
  </w:style>
  <w:style w:type="character" w:styleId="Refdenotaalpie">
    <w:name w:val="footnote reference"/>
    <w:aliases w:val="Ref,de nota al pie,FC,Appel note de bas de p,Ref. de nota al pie 2,Pie de Página,Texto de nota al pie,Texto de nota al p,Pie de Pàgina,F,Pie de P_gin,Pie de P_,Texto de nota al pi,Pie de P_g,Footnotes refss,Appel note de bas de page"/>
    <w:qFormat/>
    <w:rsid w:val="00460EA1"/>
    <w:rPr>
      <w:vertAlign w:val="superscript"/>
    </w:rPr>
  </w:style>
  <w:style w:type="paragraph" w:customStyle="1" w:styleId="xmsonormal">
    <w:name w:val="x_msonormal"/>
    <w:basedOn w:val="Normal"/>
    <w:rsid w:val="00460EA1"/>
    <w:pPr>
      <w:spacing w:before="100" w:beforeAutospacing="1" w:after="100" w:afterAutospacing="1"/>
    </w:pPr>
    <w:rPr>
      <w:sz w:val="24"/>
      <w:szCs w:val="24"/>
      <w:lang w:val="es-CO" w:eastAsia="es-CO"/>
    </w:rPr>
  </w:style>
  <w:style w:type="character" w:styleId="Textoennegrita">
    <w:name w:val="Strong"/>
    <w:basedOn w:val="Fuentedeprrafopredeter"/>
    <w:uiPriority w:val="22"/>
    <w:qFormat/>
    <w:rsid w:val="00460EA1"/>
    <w:rPr>
      <w:b/>
      <w:bCs/>
    </w:rPr>
  </w:style>
  <w:style w:type="paragraph" w:styleId="Revisin">
    <w:name w:val="Revision"/>
    <w:hidden/>
    <w:uiPriority w:val="99"/>
    <w:semiHidden/>
    <w:rsid w:val="000F02B8"/>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800">
      <w:bodyDiv w:val="1"/>
      <w:marLeft w:val="0"/>
      <w:marRight w:val="0"/>
      <w:marTop w:val="0"/>
      <w:marBottom w:val="0"/>
      <w:divBdr>
        <w:top w:val="none" w:sz="0" w:space="0" w:color="auto"/>
        <w:left w:val="none" w:sz="0" w:space="0" w:color="auto"/>
        <w:bottom w:val="none" w:sz="0" w:space="0" w:color="auto"/>
        <w:right w:val="none" w:sz="0" w:space="0" w:color="auto"/>
      </w:divBdr>
    </w:div>
    <w:div w:id="1159079276">
      <w:bodyDiv w:val="1"/>
      <w:marLeft w:val="0"/>
      <w:marRight w:val="0"/>
      <w:marTop w:val="0"/>
      <w:marBottom w:val="0"/>
      <w:divBdr>
        <w:top w:val="none" w:sz="0" w:space="0" w:color="auto"/>
        <w:left w:val="none" w:sz="0" w:space="0" w:color="auto"/>
        <w:bottom w:val="none" w:sz="0" w:space="0" w:color="auto"/>
        <w:right w:val="none" w:sz="0" w:space="0" w:color="auto"/>
      </w:divBdr>
    </w:div>
    <w:div w:id="1766807512">
      <w:bodyDiv w:val="1"/>
      <w:marLeft w:val="0"/>
      <w:marRight w:val="0"/>
      <w:marTop w:val="0"/>
      <w:marBottom w:val="0"/>
      <w:divBdr>
        <w:top w:val="none" w:sz="0" w:space="0" w:color="auto"/>
        <w:left w:val="none" w:sz="0" w:space="0" w:color="auto"/>
        <w:bottom w:val="none" w:sz="0" w:space="0" w:color="auto"/>
        <w:right w:val="none" w:sz="0" w:space="0" w:color="auto"/>
      </w:divBdr>
    </w:div>
    <w:div w:id="190509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pazos@shd.gov.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haciendabogota.gov.co" TargetMode="External"/><Relationship Id="rId1" Type="http://schemas.openxmlformats.org/officeDocument/2006/relationships/hyperlink" Target="http://www.haciendabogota.gov.c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D909A63864D5B4FB98D542D61C225EE" ma:contentTypeVersion="2" ma:contentTypeDescription="Crear nuevo documento." ma:contentTypeScope="" ma:versionID="ae99d74d77befa1ca25936b0e9fe78fb">
  <xsd:schema xmlns:xsd="http://www.w3.org/2001/XMLSchema" xmlns:xs="http://www.w3.org/2001/XMLSchema" xmlns:p="http://schemas.microsoft.com/office/2006/metadata/properties" xmlns:ns2="022c1f52-5ac6-47b7-8e77-11d54be04ede" targetNamespace="http://schemas.microsoft.com/office/2006/metadata/properties" ma:root="true" ma:fieldsID="ff25171d245a056904c363659cb0e1c5" ns2:_="">
    <xsd:import namespace="022c1f52-5ac6-47b7-8e77-11d54be04ed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c1f52-5ac6-47b7-8e77-11d54be04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CDA67E-366E-4F54-989B-7361DAEED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c1f52-5ac6-47b7-8e77-11d54be04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859814-28C2-48D4-9C1B-1622B160FF8F}">
  <ds:schemaRefs>
    <ds:schemaRef ds:uri="http://schemas.microsoft.com/sharepoint/v3/contenttype/forms"/>
  </ds:schemaRefs>
</ds:datastoreItem>
</file>

<file path=customXml/itemProps3.xml><?xml version="1.0" encoding="utf-8"?>
<ds:datastoreItem xmlns:ds="http://schemas.openxmlformats.org/officeDocument/2006/customXml" ds:itemID="{2686E57B-F9B2-4762-9BB2-BB1FE11E117C}">
  <ds:schemaRefs>
    <ds:schemaRef ds:uri="http://schemas.openxmlformats.org/officeDocument/2006/bibliography"/>
  </ds:schemaRefs>
</ds:datastoreItem>
</file>

<file path=customXml/itemProps4.xml><?xml version="1.0" encoding="utf-8"?>
<ds:datastoreItem xmlns:ds="http://schemas.openxmlformats.org/officeDocument/2006/customXml" ds:itemID="{43E4C9E2-ECF0-4DF2-B3D3-BAEACFADC8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2220</Words>
  <Characters>12213</Characters>
  <Application>Microsoft Office Word</Application>
  <DocSecurity>0</DocSecurity>
  <Lines>101</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plantilla SDH - Julio 2012</vt:lpstr>
      <vt:lpstr>Modelo plantilla SDH - Julio 2012</vt:lpstr>
    </vt:vector>
  </TitlesOfParts>
  <Company>LG  Electronics Inc.</Company>
  <LinksUpToDate>false</LinksUpToDate>
  <CharactersWithSpaces>14405</CharactersWithSpaces>
  <SharedDoc>false</SharedDoc>
  <HLinks>
    <vt:vector size="6" baseType="variant">
      <vt:variant>
        <vt:i4>5242948</vt:i4>
      </vt:variant>
      <vt:variant>
        <vt:i4>0</vt:i4>
      </vt:variant>
      <vt:variant>
        <vt:i4>0</vt:i4>
      </vt:variant>
      <vt:variant>
        <vt:i4>5</vt:i4>
      </vt:variant>
      <vt:variant>
        <vt:lpwstr>http://www.haciendabogota.gov.co/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plantilla SDH - Julio 2012</dc:title>
  <dc:subject>Plantillas manual de estilo 2012 Bogotá Humana</dc:subject>
  <dc:creator>Microsoft Office User</dc:creator>
  <cp:keywords>Plantillas</cp:keywords>
  <cp:lastModifiedBy>Liliana del Socorro Pérez Alarcon</cp:lastModifiedBy>
  <cp:revision>2</cp:revision>
  <cp:lastPrinted>2020-02-07T14:13:00Z</cp:lastPrinted>
  <dcterms:created xsi:type="dcterms:W3CDTF">2021-12-06T17:49:00Z</dcterms:created>
  <dcterms:modified xsi:type="dcterms:W3CDTF">2021-12-06T17:49:00Z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0x0101006D909A63864D5B4FB98D542D61C225EE</vt:lpwstr>
  </property>
</Properties>
</file>