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B3B75" w14:textId="77777777" w:rsidR="00A52AE6" w:rsidRPr="00C00AD4" w:rsidRDefault="00A52AE6" w:rsidP="00C00AD4">
      <w:pPr>
        <w:contextualSpacing/>
        <w:jc w:val="both"/>
        <w:rPr>
          <w:rFonts w:ascii="Arial" w:hAnsi="Arial" w:cs="Arial"/>
        </w:rPr>
      </w:pPr>
      <w:bookmarkStart w:id="0" w:name="_Hlk52464506"/>
      <w:bookmarkStart w:id="1" w:name="_Hlk106287469"/>
      <w:r w:rsidRPr="00C00AD4">
        <w:rPr>
          <w:rFonts w:ascii="Arial" w:hAnsi="Arial" w:cs="Arial"/>
        </w:rPr>
        <w:t>Bogotá, D. C.</w:t>
      </w:r>
    </w:p>
    <w:p w14:paraId="57D4BE63" w14:textId="77777777" w:rsidR="00A52AE6" w:rsidRPr="00C00AD4" w:rsidRDefault="00A52AE6" w:rsidP="00C00AD4">
      <w:pPr>
        <w:contextualSpacing/>
        <w:jc w:val="both"/>
        <w:rPr>
          <w:rFonts w:ascii="Arial" w:hAnsi="Arial" w:cs="Arial"/>
        </w:rPr>
      </w:pPr>
    </w:p>
    <w:p w14:paraId="578C3CA1" w14:textId="77777777" w:rsidR="00A52AE6" w:rsidRPr="00C00AD4" w:rsidRDefault="00A52AE6" w:rsidP="00C00AD4">
      <w:pPr>
        <w:contextualSpacing/>
        <w:jc w:val="both"/>
        <w:rPr>
          <w:rFonts w:ascii="Arial" w:hAnsi="Arial" w:cs="Arial"/>
        </w:rPr>
      </w:pPr>
      <w:r w:rsidRPr="00C00AD4">
        <w:rPr>
          <w:rFonts w:ascii="Arial" w:hAnsi="Arial" w:cs="Arial"/>
        </w:rPr>
        <w:t>Doctor</w:t>
      </w:r>
    </w:p>
    <w:p w14:paraId="00B13534" w14:textId="7397C15A" w:rsidR="003259E3" w:rsidRPr="00C00AD4" w:rsidRDefault="0063261D" w:rsidP="00C00AD4">
      <w:pPr>
        <w:jc w:val="both"/>
        <w:rPr>
          <w:rFonts w:ascii="Arial" w:hAnsi="Arial" w:cs="Arial"/>
        </w:rPr>
      </w:pPr>
      <w:r w:rsidRPr="00C00AD4">
        <w:rPr>
          <w:rFonts w:ascii="Arial" w:hAnsi="Arial" w:cs="Arial"/>
        </w:rPr>
        <w:t>Gotardo Antonio Yáñez Álvarez</w:t>
      </w:r>
    </w:p>
    <w:p w14:paraId="7B773298" w14:textId="77777777" w:rsidR="00056D8D" w:rsidRPr="00C00AD4" w:rsidRDefault="003259E3" w:rsidP="00C00AD4">
      <w:pPr>
        <w:jc w:val="both"/>
        <w:rPr>
          <w:rFonts w:ascii="Arial" w:hAnsi="Arial" w:cs="Arial"/>
        </w:rPr>
      </w:pPr>
      <w:r w:rsidRPr="00C00AD4">
        <w:rPr>
          <w:rFonts w:ascii="Arial" w:hAnsi="Arial" w:cs="Arial"/>
        </w:rPr>
        <w:t xml:space="preserve">Subdirector de Gestión Corporativa </w:t>
      </w:r>
    </w:p>
    <w:p w14:paraId="4DACBA72" w14:textId="0984C869" w:rsidR="005E4608" w:rsidRPr="00C00AD4" w:rsidRDefault="005E4608" w:rsidP="00C00AD4">
      <w:pPr>
        <w:jc w:val="both"/>
        <w:rPr>
          <w:rFonts w:ascii="Arial" w:hAnsi="Arial" w:cs="Arial"/>
        </w:rPr>
      </w:pPr>
      <w:r w:rsidRPr="00C00AD4">
        <w:rPr>
          <w:rFonts w:ascii="Arial" w:hAnsi="Arial" w:cs="Arial"/>
        </w:rPr>
        <w:t xml:space="preserve">Instituto Distrital de Protección y Bienestar Animal </w:t>
      </w:r>
    </w:p>
    <w:p w14:paraId="2CA642B3" w14:textId="27E71663" w:rsidR="0063261D" w:rsidRPr="00C00AD4" w:rsidRDefault="00961D49" w:rsidP="00C00AD4">
      <w:pPr>
        <w:jc w:val="both"/>
        <w:rPr>
          <w:rFonts w:ascii="Arial" w:hAnsi="Arial" w:cs="Arial"/>
        </w:rPr>
      </w:pPr>
      <w:hyperlink r:id="rId8" w:history="1">
        <w:r w:rsidR="0063261D" w:rsidRPr="00C00AD4">
          <w:rPr>
            <w:rFonts w:ascii="Arial" w:hAnsi="Arial" w:cs="Arial"/>
          </w:rPr>
          <w:t>g.yanez@animalesbog.gov.co</w:t>
        </w:r>
      </w:hyperlink>
    </w:p>
    <w:p w14:paraId="50847BF3" w14:textId="04F69C00" w:rsidR="00A52AE6" w:rsidRPr="00C00AD4" w:rsidRDefault="00A52AE6" w:rsidP="00C00AD4">
      <w:pPr>
        <w:jc w:val="both"/>
        <w:rPr>
          <w:rFonts w:ascii="Arial" w:hAnsi="Arial" w:cs="Arial"/>
        </w:rPr>
      </w:pPr>
      <w:r w:rsidRPr="00C00AD4">
        <w:rPr>
          <w:rFonts w:ascii="Arial" w:hAnsi="Arial" w:cs="Arial"/>
        </w:rPr>
        <w:t xml:space="preserve">Nit. </w:t>
      </w:r>
      <w:r w:rsidR="00602FD0" w:rsidRPr="00C00AD4">
        <w:rPr>
          <w:rFonts w:ascii="Arial" w:hAnsi="Arial" w:cs="Arial"/>
        </w:rPr>
        <w:t>9010973246</w:t>
      </w:r>
    </w:p>
    <w:p w14:paraId="3782A225" w14:textId="6B2E952C" w:rsidR="00E3707C" w:rsidRPr="00C00AD4" w:rsidRDefault="00971381" w:rsidP="00C00AD4">
      <w:pPr>
        <w:jc w:val="both"/>
        <w:rPr>
          <w:rFonts w:ascii="Arial" w:hAnsi="Arial" w:cs="Arial"/>
        </w:rPr>
      </w:pPr>
      <w:r w:rsidRPr="00C00AD4">
        <w:rPr>
          <w:rFonts w:ascii="Arial" w:hAnsi="Arial" w:cs="Arial"/>
        </w:rPr>
        <w:t>C</w:t>
      </w:r>
      <w:r w:rsidR="00E3707C" w:rsidRPr="00C00AD4">
        <w:rPr>
          <w:rFonts w:ascii="Arial" w:hAnsi="Arial" w:cs="Arial"/>
        </w:rPr>
        <w:t xml:space="preserve">arrera </w:t>
      </w:r>
      <w:r w:rsidRPr="00C00AD4">
        <w:rPr>
          <w:rFonts w:ascii="Arial" w:hAnsi="Arial" w:cs="Arial"/>
        </w:rPr>
        <w:t>10</w:t>
      </w:r>
      <w:r w:rsidR="00E3707C" w:rsidRPr="00C00AD4">
        <w:rPr>
          <w:rFonts w:ascii="Arial" w:hAnsi="Arial" w:cs="Arial"/>
        </w:rPr>
        <w:t xml:space="preserve"> </w:t>
      </w:r>
      <w:r w:rsidRPr="00C00AD4">
        <w:rPr>
          <w:rFonts w:ascii="Arial" w:hAnsi="Arial" w:cs="Arial"/>
        </w:rPr>
        <w:t xml:space="preserve">26-51 torre </w:t>
      </w:r>
      <w:r w:rsidR="00E3707C" w:rsidRPr="00C00AD4">
        <w:rPr>
          <w:rFonts w:ascii="Arial" w:hAnsi="Arial" w:cs="Arial"/>
        </w:rPr>
        <w:t>s</w:t>
      </w:r>
      <w:r w:rsidRPr="00C00AD4">
        <w:rPr>
          <w:rFonts w:ascii="Arial" w:hAnsi="Arial" w:cs="Arial"/>
        </w:rPr>
        <w:t>ur</w:t>
      </w:r>
      <w:r w:rsidR="00E3707C" w:rsidRPr="00C00AD4">
        <w:rPr>
          <w:rFonts w:ascii="Arial" w:hAnsi="Arial" w:cs="Arial"/>
        </w:rPr>
        <w:t xml:space="preserve"> piso </w:t>
      </w:r>
      <w:r w:rsidRPr="00C00AD4">
        <w:rPr>
          <w:rFonts w:ascii="Arial" w:hAnsi="Arial" w:cs="Arial"/>
        </w:rPr>
        <w:t>8</w:t>
      </w:r>
    </w:p>
    <w:p w14:paraId="19300892" w14:textId="6D0A198A" w:rsidR="00A52AE6" w:rsidRPr="00C00AD4" w:rsidRDefault="00A52AE6" w:rsidP="00C00AD4">
      <w:pPr>
        <w:jc w:val="both"/>
        <w:rPr>
          <w:rFonts w:ascii="Arial" w:hAnsi="Arial" w:cs="Arial"/>
        </w:rPr>
      </w:pPr>
      <w:r w:rsidRPr="00C00AD4">
        <w:rPr>
          <w:rFonts w:ascii="Arial" w:hAnsi="Arial" w:cs="Arial"/>
        </w:rPr>
        <w:t>Bogotá</w:t>
      </w:r>
    </w:p>
    <w:p w14:paraId="62C590BE" w14:textId="77777777" w:rsidR="00A52AE6" w:rsidRPr="00C00AD4" w:rsidRDefault="00A52AE6" w:rsidP="00C00AD4">
      <w:pPr>
        <w:contextualSpacing/>
        <w:jc w:val="both"/>
        <w:rPr>
          <w:rFonts w:ascii="Arial" w:hAnsi="Arial" w:cs="Arial"/>
          <w:bCs/>
        </w:rPr>
      </w:pPr>
    </w:p>
    <w:p w14:paraId="504EC2B5" w14:textId="77777777" w:rsidR="00A52AE6" w:rsidRPr="00C00AD4" w:rsidRDefault="00A52AE6" w:rsidP="00C00AD4">
      <w:pPr>
        <w:contextualSpacing/>
        <w:jc w:val="center"/>
        <w:rPr>
          <w:rFonts w:ascii="Arial" w:hAnsi="Arial" w:cs="Arial"/>
          <w:b/>
        </w:rPr>
      </w:pPr>
      <w:r w:rsidRPr="00C00AD4">
        <w:rPr>
          <w:rFonts w:ascii="Arial" w:hAnsi="Arial" w:cs="Arial"/>
          <w:b/>
        </w:rPr>
        <w:t>CONCEPTO</w:t>
      </w:r>
    </w:p>
    <w:p w14:paraId="789072FE" w14:textId="77777777" w:rsidR="00A52AE6" w:rsidRPr="00C00AD4" w:rsidRDefault="00A52AE6" w:rsidP="00C00AD4">
      <w:pPr>
        <w:contextualSpacing/>
        <w:jc w:val="both"/>
        <w:rPr>
          <w:rFonts w:ascii="Arial" w:hAnsi="Arial" w:cs="Arial"/>
          <w:b/>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7088"/>
      </w:tblGrid>
      <w:tr w:rsidR="00A52AE6" w:rsidRPr="00C00AD4" w14:paraId="57397BB0" w14:textId="77777777" w:rsidTr="00725080">
        <w:trPr>
          <w:trHeight w:val="193"/>
        </w:trPr>
        <w:tc>
          <w:tcPr>
            <w:tcW w:w="2155" w:type="dxa"/>
            <w:shd w:val="clear" w:color="auto" w:fill="auto"/>
            <w:vAlign w:val="center"/>
          </w:tcPr>
          <w:p w14:paraId="589860ED" w14:textId="77777777" w:rsidR="00A52AE6" w:rsidRPr="00961D49" w:rsidRDefault="00A52AE6" w:rsidP="00C00AD4">
            <w:pPr>
              <w:contextualSpacing/>
              <w:jc w:val="both"/>
              <w:rPr>
                <w:rFonts w:ascii="Arial" w:hAnsi="Arial" w:cs="Arial"/>
                <w:sz w:val="20"/>
                <w:szCs w:val="20"/>
                <w:lang w:val="es-ES"/>
              </w:rPr>
            </w:pPr>
            <w:r w:rsidRPr="00961D49">
              <w:rPr>
                <w:rFonts w:ascii="Arial" w:hAnsi="Arial" w:cs="Arial"/>
                <w:sz w:val="20"/>
                <w:szCs w:val="20"/>
                <w:lang w:val="es-ES"/>
              </w:rPr>
              <w:t>Referencia</w:t>
            </w:r>
          </w:p>
        </w:tc>
        <w:tc>
          <w:tcPr>
            <w:tcW w:w="7088" w:type="dxa"/>
            <w:shd w:val="clear" w:color="auto" w:fill="auto"/>
            <w:vAlign w:val="center"/>
          </w:tcPr>
          <w:p w14:paraId="68CB383D" w14:textId="78A588EB" w:rsidR="00A52AE6" w:rsidRPr="00961D49" w:rsidRDefault="00A52AE6" w:rsidP="00C00AD4">
            <w:pPr>
              <w:contextualSpacing/>
              <w:jc w:val="both"/>
              <w:rPr>
                <w:rFonts w:ascii="Arial" w:hAnsi="Arial" w:cs="Arial"/>
                <w:sz w:val="20"/>
                <w:szCs w:val="20"/>
                <w:lang w:val="es-ES"/>
              </w:rPr>
            </w:pPr>
            <w:r w:rsidRPr="00961D49">
              <w:rPr>
                <w:rFonts w:ascii="Arial" w:hAnsi="Arial" w:cs="Arial"/>
                <w:sz w:val="20"/>
                <w:szCs w:val="20"/>
              </w:rPr>
              <w:t>2022</w:t>
            </w:r>
            <w:r w:rsidR="00B17F04" w:rsidRPr="00961D49">
              <w:rPr>
                <w:rFonts w:ascii="Arial" w:hAnsi="Arial" w:cs="Arial"/>
                <w:sz w:val="20"/>
                <w:szCs w:val="20"/>
              </w:rPr>
              <w:t>ER</w:t>
            </w:r>
            <w:r w:rsidR="004042E1" w:rsidRPr="00961D49">
              <w:rPr>
                <w:rFonts w:ascii="Arial" w:hAnsi="Arial" w:cs="Arial"/>
                <w:sz w:val="20"/>
                <w:szCs w:val="20"/>
              </w:rPr>
              <w:t>414855O1</w:t>
            </w:r>
            <w:r w:rsidR="00344707" w:rsidRPr="00961D49">
              <w:rPr>
                <w:rFonts w:ascii="Arial" w:hAnsi="Arial" w:cs="Arial"/>
                <w:sz w:val="20"/>
                <w:szCs w:val="20"/>
              </w:rPr>
              <w:t>; 2022IE046723O1</w:t>
            </w:r>
          </w:p>
        </w:tc>
      </w:tr>
      <w:tr w:rsidR="00A52AE6" w:rsidRPr="00C00AD4" w14:paraId="326D7F98" w14:textId="77777777" w:rsidTr="00725080">
        <w:tc>
          <w:tcPr>
            <w:tcW w:w="2155" w:type="dxa"/>
            <w:shd w:val="clear" w:color="auto" w:fill="auto"/>
            <w:vAlign w:val="center"/>
          </w:tcPr>
          <w:p w14:paraId="534AEE9F" w14:textId="77777777" w:rsidR="00A52AE6" w:rsidRPr="00961D49" w:rsidRDefault="00A52AE6" w:rsidP="00C00AD4">
            <w:pPr>
              <w:contextualSpacing/>
              <w:jc w:val="both"/>
              <w:rPr>
                <w:rFonts w:ascii="Arial" w:hAnsi="Arial" w:cs="Arial"/>
                <w:sz w:val="20"/>
                <w:szCs w:val="20"/>
                <w:lang w:val="es-ES"/>
              </w:rPr>
            </w:pPr>
            <w:r w:rsidRPr="00961D49">
              <w:rPr>
                <w:rFonts w:ascii="Arial" w:hAnsi="Arial" w:cs="Arial"/>
                <w:sz w:val="20"/>
                <w:szCs w:val="20"/>
                <w:lang w:val="es-ES"/>
              </w:rPr>
              <w:t>Descriptor general</w:t>
            </w:r>
          </w:p>
        </w:tc>
        <w:tc>
          <w:tcPr>
            <w:tcW w:w="7088" w:type="dxa"/>
            <w:shd w:val="clear" w:color="auto" w:fill="auto"/>
            <w:vAlign w:val="center"/>
          </w:tcPr>
          <w:p w14:paraId="7CB121E0" w14:textId="0C7B9B45" w:rsidR="00A52AE6" w:rsidRPr="00961D49" w:rsidRDefault="00A52AE6" w:rsidP="00C00AD4">
            <w:pPr>
              <w:contextualSpacing/>
              <w:jc w:val="both"/>
              <w:rPr>
                <w:rFonts w:ascii="Arial" w:hAnsi="Arial" w:cs="Arial"/>
                <w:sz w:val="20"/>
                <w:szCs w:val="20"/>
                <w:lang w:val="es-ES"/>
              </w:rPr>
            </w:pPr>
            <w:r w:rsidRPr="00961D49">
              <w:rPr>
                <w:rFonts w:ascii="Arial" w:hAnsi="Arial" w:cs="Arial"/>
                <w:sz w:val="20"/>
                <w:szCs w:val="20"/>
                <w:lang w:val="es-ES"/>
              </w:rPr>
              <w:t>Co</w:t>
            </w:r>
            <w:r w:rsidR="0090570C" w:rsidRPr="00961D49">
              <w:rPr>
                <w:rFonts w:ascii="Arial" w:hAnsi="Arial" w:cs="Arial"/>
                <w:sz w:val="20"/>
                <w:szCs w:val="20"/>
                <w:lang w:val="es-ES"/>
              </w:rPr>
              <w:t>ntractual</w:t>
            </w:r>
          </w:p>
        </w:tc>
      </w:tr>
      <w:tr w:rsidR="00A52AE6" w:rsidRPr="00C00AD4" w14:paraId="385865D4" w14:textId="77777777" w:rsidTr="00725080">
        <w:trPr>
          <w:trHeight w:val="469"/>
        </w:trPr>
        <w:tc>
          <w:tcPr>
            <w:tcW w:w="2155" w:type="dxa"/>
            <w:shd w:val="clear" w:color="auto" w:fill="auto"/>
            <w:vAlign w:val="center"/>
          </w:tcPr>
          <w:p w14:paraId="2DC4AF61" w14:textId="77777777" w:rsidR="00A52AE6" w:rsidRPr="00961D49" w:rsidRDefault="00A52AE6" w:rsidP="00C00AD4">
            <w:pPr>
              <w:contextualSpacing/>
              <w:jc w:val="both"/>
              <w:rPr>
                <w:rFonts w:ascii="Arial" w:hAnsi="Arial" w:cs="Arial"/>
                <w:sz w:val="20"/>
                <w:szCs w:val="20"/>
                <w:lang w:val="es-ES"/>
              </w:rPr>
            </w:pPr>
            <w:r w:rsidRPr="00961D49">
              <w:rPr>
                <w:rFonts w:ascii="Arial" w:hAnsi="Arial" w:cs="Arial"/>
                <w:sz w:val="20"/>
                <w:szCs w:val="20"/>
                <w:lang w:val="es-ES"/>
              </w:rPr>
              <w:t>Descriptores especiales</w:t>
            </w:r>
          </w:p>
        </w:tc>
        <w:tc>
          <w:tcPr>
            <w:tcW w:w="7088" w:type="dxa"/>
            <w:shd w:val="clear" w:color="auto" w:fill="auto"/>
            <w:vAlign w:val="center"/>
          </w:tcPr>
          <w:p w14:paraId="6D88E8D0" w14:textId="1624A67D" w:rsidR="00A52AE6" w:rsidRPr="00961D49" w:rsidRDefault="00A52AE6" w:rsidP="00C00AD4">
            <w:pPr>
              <w:contextualSpacing/>
              <w:jc w:val="both"/>
              <w:rPr>
                <w:rFonts w:ascii="Arial" w:hAnsi="Arial" w:cs="Arial"/>
                <w:sz w:val="20"/>
                <w:szCs w:val="20"/>
                <w:lang w:val="es-ES"/>
              </w:rPr>
            </w:pPr>
            <w:r w:rsidRPr="00961D49">
              <w:rPr>
                <w:rFonts w:ascii="Arial" w:hAnsi="Arial" w:cs="Arial"/>
                <w:sz w:val="20"/>
                <w:szCs w:val="20"/>
                <w:lang w:val="es-ES"/>
              </w:rPr>
              <w:t>Co</w:t>
            </w:r>
            <w:r w:rsidR="000A2A76" w:rsidRPr="00961D49">
              <w:rPr>
                <w:rFonts w:ascii="Arial" w:hAnsi="Arial" w:cs="Arial"/>
                <w:sz w:val="20"/>
                <w:szCs w:val="20"/>
                <w:lang w:val="es-ES"/>
              </w:rPr>
              <w:t>ntratación – autonomía contractual</w:t>
            </w:r>
            <w:r w:rsidR="006E6C0D" w:rsidRPr="00961D49">
              <w:rPr>
                <w:rFonts w:ascii="Arial" w:hAnsi="Arial" w:cs="Arial"/>
                <w:sz w:val="20"/>
                <w:szCs w:val="20"/>
                <w:lang w:val="es-ES"/>
              </w:rPr>
              <w:t xml:space="preserve">.   </w:t>
            </w:r>
            <w:r w:rsidR="00623E9A" w:rsidRPr="00961D49">
              <w:rPr>
                <w:rFonts w:ascii="Arial" w:hAnsi="Arial" w:cs="Arial"/>
                <w:sz w:val="20"/>
                <w:szCs w:val="20"/>
                <w:lang w:val="es-ES"/>
              </w:rPr>
              <w:t xml:space="preserve">Protección de los animales </w:t>
            </w:r>
          </w:p>
        </w:tc>
      </w:tr>
      <w:tr w:rsidR="00A52AE6" w:rsidRPr="00C00AD4" w14:paraId="2DB8C29B" w14:textId="77777777" w:rsidTr="00725080">
        <w:tc>
          <w:tcPr>
            <w:tcW w:w="2155" w:type="dxa"/>
            <w:shd w:val="clear" w:color="auto" w:fill="auto"/>
            <w:vAlign w:val="center"/>
          </w:tcPr>
          <w:p w14:paraId="32475001" w14:textId="77777777" w:rsidR="00A52AE6" w:rsidRPr="00961D49" w:rsidRDefault="00A52AE6" w:rsidP="00C00AD4">
            <w:pPr>
              <w:contextualSpacing/>
              <w:jc w:val="both"/>
              <w:rPr>
                <w:rFonts w:ascii="Arial" w:hAnsi="Arial" w:cs="Arial"/>
                <w:sz w:val="20"/>
                <w:szCs w:val="20"/>
                <w:lang w:val="es-ES"/>
              </w:rPr>
            </w:pPr>
            <w:r w:rsidRPr="00961D49">
              <w:rPr>
                <w:rFonts w:ascii="Arial" w:hAnsi="Arial" w:cs="Arial"/>
                <w:sz w:val="20"/>
                <w:szCs w:val="20"/>
                <w:lang w:val="es-ES"/>
              </w:rPr>
              <w:t>Problema jurídico</w:t>
            </w:r>
          </w:p>
        </w:tc>
        <w:tc>
          <w:tcPr>
            <w:tcW w:w="7088" w:type="dxa"/>
            <w:shd w:val="clear" w:color="auto" w:fill="auto"/>
            <w:vAlign w:val="center"/>
          </w:tcPr>
          <w:p w14:paraId="74D515F8" w14:textId="17A9A852" w:rsidR="00A52AE6" w:rsidRPr="00961D49" w:rsidRDefault="008E31CD" w:rsidP="00C00AD4">
            <w:pPr>
              <w:contextualSpacing/>
              <w:jc w:val="both"/>
              <w:rPr>
                <w:rFonts w:ascii="Arial" w:hAnsi="Arial" w:cs="Arial"/>
                <w:sz w:val="20"/>
                <w:szCs w:val="20"/>
                <w:lang w:val="es-ES"/>
              </w:rPr>
            </w:pPr>
            <w:r w:rsidRPr="00961D49">
              <w:rPr>
                <w:rFonts w:ascii="Arial" w:hAnsi="Arial" w:cs="Arial"/>
                <w:sz w:val="20"/>
                <w:szCs w:val="20"/>
                <w:lang w:val="es-ES"/>
              </w:rPr>
              <w:t xml:space="preserve">¿Se puede hacer uso </w:t>
            </w:r>
            <w:r w:rsidR="00E1650B" w:rsidRPr="00961D49">
              <w:rPr>
                <w:rFonts w:ascii="Arial" w:hAnsi="Arial" w:cs="Arial"/>
                <w:sz w:val="20"/>
                <w:szCs w:val="20"/>
                <w:lang w:val="es-ES"/>
              </w:rPr>
              <w:t xml:space="preserve">por parte del Instituto </w:t>
            </w:r>
            <w:r w:rsidR="00623E9A" w:rsidRPr="00961D49">
              <w:rPr>
                <w:rFonts w:ascii="Arial" w:hAnsi="Arial" w:cs="Arial"/>
                <w:sz w:val="20"/>
                <w:szCs w:val="20"/>
                <w:lang w:val="es-ES"/>
              </w:rPr>
              <w:t xml:space="preserve">de Protección </w:t>
            </w:r>
            <w:r w:rsidR="00AA019E" w:rsidRPr="00961D49">
              <w:rPr>
                <w:rFonts w:ascii="Arial" w:hAnsi="Arial" w:cs="Arial"/>
                <w:sz w:val="20"/>
                <w:szCs w:val="20"/>
                <w:lang w:val="es-ES"/>
              </w:rPr>
              <w:t xml:space="preserve">Animal </w:t>
            </w:r>
            <w:r w:rsidRPr="00961D49">
              <w:rPr>
                <w:rFonts w:ascii="Arial" w:hAnsi="Arial" w:cs="Arial"/>
                <w:sz w:val="20"/>
                <w:szCs w:val="20"/>
                <w:lang w:val="es-ES"/>
              </w:rPr>
              <w:t>de los elementos que</w:t>
            </w:r>
            <w:r w:rsidR="00E1650B" w:rsidRPr="00961D49">
              <w:rPr>
                <w:rFonts w:ascii="Arial" w:hAnsi="Arial" w:cs="Arial"/>
                <w:sz w:val="20"/>
                <w:szCs w:val="20"/>
                <w:lang w:val="es-ES"/>
              </w:rPr>
              <w:t xml:space="preserve"> fueron adquiridos para </w:t>
            </w:r>
            <w:r w:rsidR="00F06DE8" w:rsidRPr="00961D49">
              <w:rPr>
                <w:rFonts w:ascii="Arial" w:hAnsi="Arial" w:cs="Arial"/>
                <w:sz w:val="20"/>
                <w:szCs w:val="20"/>
                <w:lang w:val="es-ES"/>
              </w:rPr>
              <w:t xml:space="preserve">un objeto diferente al inicialmente contratado </w:t>
            </w:r>
            <w:r w:rsidR="00BF3244" w:rsidRPr="00961D49">
              <w:rPr>
                <w:rFonts w:ascii="Arial" w:hAnsi="Arial" w:cs="Arial"/>
                <w:sz w:val="20"/>
                <w:szCs w:val="20"/>
                <w:lang w:val="es-ES"/>
              </w:rPr>
              <w:t>y de ser posible, con ello se contraviene el principio de especialidad de gasto</w:t>
            </w:r>
            <w:r w:rsidR="00E1650B" w:rsidRPr="00961D49">
              <w:rPr>
                <w:rFonts w:ascii="Arial" w:hAnsi="Arial" w:cs="Arial"/>
                <w:sz w:val="20"/>
                <w:szCs w:val="20"/>
                <w:lang w:val="es-ES"/>
              </w:rPr>
              <w:t>? ¿Se pueden volver adquirir esos mismo</w:t>
            </w:r>
            <w:r w:rsidR="00315A92" w:rsidRPr="00961D49">
              <w:rPr>
                <w:rFonts w:ascii="Arial" w:hAnsi="Arial" w:cs="Arial"/>
                <w:sz w:val="20"/>
                <w:szCs w:val="20"/>
                <w:lang w:val="es-ES"/>
              </w:rPr>
              <w:t>s</w:t>
            </w:r>
            <w:r w:rsidR="00E1650B" w:rsidRPr="00961D49">
              <w:rPr>
                <w:rFonts w:ascii="Arial" w:hAnsi="Arial" w:cs="Arial"/>
                <w:sz w:val="20"/>
                <w:szCs w:val="20"/>
                <w:lang w:val="es-ES"/>
              </w:rPr>
              <w:t xml:space="preserve"> elementos en la</w:t>
            </w:r>
            <w:r w:rsidR="003D741C" w:rsidRPr="00961D49">
              <w:rPr>
                <w:rFonts w:ascii="Arial" w:hAnsi="Arial" w:cs="Arial"/>
                <w:sz w:val="20"/>
                <w:szCs w:val="20"/>
                <w:lang w:val="es-ES"/>
              </w:rPr>
              <w:t xml:space="preserve"> siguiente anualida</w:t>
            </w:r>
            <w:r w:rsidR="00315A92" w:rsidRPr="00961D49">
              <w:rPr>
                <w:rFonts w:ascii="Arial" w:hAnsi="Arial" w:cs="Arial"/>
                <w:sz w:val="20"/>
                <w:szCs w:val="20"/>
                <w:lang w:val="es-ES"/>
              </w:rPr>
              <w:t>d</w:t>
            </w:r>
            <w:r w:rsidR="003D741C" w:rsidRPr="00961D49">
              <w:rPr>
                <w:rFonts w:ascii="Arial" w:hAnsi="Arial" w:cs="Arial"/>
                <w:sz w:val="20"/>
                <w:szCs w:val="20"/>
                <w:lang w:val="es-ES"/>
              </w:rPr>
              <w:t xml:space="preserve">? </w:t>
            </w:r>
            <w:r w:rsidRPr="00961D49">
              <w:rPr>
                <w:rFonts w:ascii="Arial" w:hAnsi="Arial" w:cs="Arial"/>
                <w:sz w:val="20"/>
                <w:szCs w:val="20"/>
                <w:lang w:val="es-ES"/>
              </w:rPr>
              <w:t xml:space="preserve"> </w:t>
            </w:r>
          </w:p>
        </w:tc>
      </w:tr>
      <w:tr w:rsidR="00A52AE6" w:rsidRPr="00C00AD4" w14:paraId="387CE6BE" w14:textId="77777777" w:rsidTr="00725080">
        <w:trPr>
          <w:trHeight w:val="430"/>
        </w:trPr>
        <w:tc>
          <w:tcPr>
            <w:tcW w:w="2155" w:type="dxa"/>
            <w:shd w:val="clear" w:color="auto" w:fill="auto"/>
            <w:vAlign w:val="center"/>
          </w:tcPr>
          <w:p w14:paraId="240E835C" w14:textId="77777777" w:rsidR="00A52AE6" w:rsidRPr="00961D49" w:rsidRDefault="00A52AE6" w:rsidP="00C00AD4">
            <w:pPr>
              <w:contextualSpacing/>
              <w:jc w:val="both"/>
              <w:rPr>
                <w:rFonts w:ascii="Arial" w:hAnsi="Arial" w:cs="Arial"/>
                <w:sz w:val="20"/>
                <w:szCs w:val="20"/>
                <w:lang w:val="es-ES"/>
              </w:rPr>
            </w:pPr>
            <w:r w:rsidRPr="00961D49">
              <w:rPr>
                <w:rFonts w:ascii="Arial" w:hAnsi="Arial" w:cs="Arial"/>
                <w:sz w:val="20"/>
                <w:szCs w:val="20"/>
                <w:lang w:val="es-ES"/>
              </w:rPr>
              <w:t>Fuentes formales</w:t>
            </w:r>
          </w:p>
        </w:tc>
        <w:tc>
          <w:tcPr>
            <w:tcW w:w="7088" w:type="dxa"/>
            <w:shd w:val="clear" w:color="auto" w:fill="auto"/>
            <w:vAlign w:val="center"/>
          </w:tcPr>
          <w:p w14:paraId="60C97EEF" w14:textId="3491CA28" w:rsidR="00A52AE6" w:rsidRPr="00961D49" w:rsidRDefault="005066D7" w:rsidP="00C00AD4">
            <w:pPr>
              <w:pStyle w:val="Textonotapie"/>
              <w:jc w:val="both"/>
              <w:rPr>
                <w:rFonts w:ascii="Arial" w:hAnsi="Arial" w:cs="Arial"/>
              </w:rPr>
            </w:pPr>
            <w:r w:rsidRPr="00961D49">
              <w:rPr>
                <w:rFonts w:ascii="Arial" w:hAnsi="Arial" w:cs="Arial"/>
              </w:rPr>
              <w:t>Constitución Política de 1991</w:t>
            </w:r>
            <w:r w:rsidR="00AA019E" w:rsidRPr="00961D49">
              <w:rPr>
                <w:rFonts w:ascii="Arial" w:hAnsi="Arial" w:cs="Arial"/>
              </w:rPr>
              <w:t>,</w:t>
            </w:r>
            <w:r w:rsidRPr="00961D49">
              <w:rPr>
                <w:rFonts w:ascii="Arial" w:hAnsi="Arial" w:cs="Arial"/>
              </w:rPr>
              <w:t xml:space="preserve"> artículos 151 y 352</w:t>
            </w:r>
          </w:p>
          <w:p w14:paraId="498285B4" w14:textId="219824A8" w:rsidR="00163892" w:rsidRPr="00961D49" w:rsidRDefault="00163892" w:rsidP="00C00AD4">
            <w:pPr>
              <w:pStyle w:val="Textonotapie"/>
              <w:jc w:val="both"/>
              <w:rPr>
                <w:rFonts w:ascii="Arial" w:hAnsi="Arial" w:cs="Arial"/>
              </w:rPr>
            </w:pPr>
            <w:r w:rsidRPr="00961D49">
              <w:rPr>
                <w:rFonts w:ascii="Arial" w:hAnsi="Arial" w:cs="Arial"/>
              </w:rPr>
              <w:t>Decreto Nacional 111 de 1996</w:t>
            </w:r>
            <w:r w:rsidR="00AA019E" w:rsidRPr="00961D49">
              <w:rPr>
                <w:rFonts w:ascii="Arial" w:hAnsi="Arial" w:cs="Arial"/>
              </w:rPr>
              <w:t>,</w:t>
            </w:r>
            <w:r w:rsidR="00AD7A2F" w:rsidRPr="00961D49">
              <w:rPr>
                <w:rFonts w:ascii="Arial" w:hAnsi="Arial" w:cs="Arial"/>
              </w:rPr>
              <w:t xml:space="preserve"> artículo 110</w:t>
            </w:r>
            <w:r w:rsidR="00AA019E" w:rsidRPr="00961D49">
              <w:rPr>
                <w:rFonts w:ascii="Arial" w:hAnsi="Arial" w:cs="Arial"/>
              </w:rPr>
              <w:t>.</w:t>
            </w:r>
          </w:p>
          <w:p w14:paraId="14A06223" w14:textId="6D6B5CA2" w:rsidR="001F1E5F" w:rsidRPr="00961D49" w:rsidRDefault="001F1E5F" w:rsidP="00C00AD4">
            <w:pPr>
              <w:pStyle w:val="Textonotapie"/>
              <w:jc w:val="both"/>
              <w:rPr>
                <w:rFonts w:ascii="Arial" w:hAnsi="Arial" w:cs="Arial"/>
              </w:rPr>
            </w:pPr>
            <w:r w:rsidRPr="00961D49">
              <w:rPr>
                <w:rFonts w:ascii="Arial" w:hAnsi="Arial" w:cs="Arial"/>
              </w:rPr>
              <w:t>Decreto Distrital 714 de 1996</w:t>
            </w:r>
            <w:r w:rsidR="00AA019E" w:rsidRPr="00961D49">
              <w:rPr>
                <w:rFonts w:ascii="Arial" w:hAnsi="Arial" w:cs="Arial"/>
              </w:rPr>
              <w:t>,</w:t>
            </w:r>
            <w:r w:rsidRPr="00961D49">
              <w:rPr>
                <w:rFonts w:ascii="Arial" w:hAnsi="Arial" w:cs="Arial"/>
              </w:rPr>
              <w:t xml:space="preserve"> artículo 87</w:t>
            </w:r>
          </w:p>
          <w:p w14:paraId="610FC957" w14:textId="50501E2B" w:rsidR="004B32D0" w:rsidRPr="00961D49" w:rsidRDefault="004B32D0" w:rsidP="00C00AD4">
            <w:pPr>
              <w:pStyle w:val="Textonotapie"/>
              <w:jc w:val="both"/>
              <w:rPr>
                <w:rFonts w:ascii="Arial" w:hAnsi="Arial" w:cs="Arial"/>
              </w:rPr>
            </w:pPr>
            <w:r w:rsidRPr="00961D49">
              <w:rPr>
                <w:rFonts w:ascii="Arial" w:hAnsi="Arial" w:cs="Arial"/>
              </w:rPr>
              <w:t>Corte Constitucional Sentencia C-119 del 15 de abril de 2020, Magistrado Ponente: Alejandro Linares Cantillo</w:t>
            </w:r>
          </w:p>
          <w:p w14:paraId="64B79FB9" w14:textId="42F026A2" w:rsidR="00AB593F" w:rsidRPr="00961D49" w:rsidRDefault="00AB593F" w:rsidP="00C00AD4">
            <w:pPr>
              <w:pStyle w:val="Textonotapie"/>
              <w:jc w:val="both"/>
              <w:rPr>
                <w:rFonts w:ascii="Arial" w:hAnsi="Arial" w:cs="Arial"/>
              </w:rPr>
            </w:pPr>
            <w:r w:rsidRPr="00961D49">
              <w:rPr>
                <w:rFonts w:ascii="Arial" w:hAnsi="Arial" w:cs="Arial"/>
              </w:rPr>
              <w:t>Consejo de Estado, Sala de lo Contencioso Administrativo Sección Tercera Subsección B</w:t>
            </w:r>
            <w:r w:rsidR="0094413F" w:rsidRPr="00961D49">
              <w:rPr>
                <w:rFonts w:ascii="Arial" w:hAnsi="Arial" w:cs="Arial"/>
              </w:rPr>
              <w:t xml:space="preserve"> c</w:t>
            </w:r>
            <w:r w:rsidRPr="00961D49">
              <w:rPr>
                <w:rFonts w:ascii="Arial" w:hAnsi="Arial" w:cs="Arial"/>
              </w:rPr>
              <w:t>onsejero ponente: Danilo Rojas Betancourt Bogotá D.C, dos (2) de marzo de dos mil diecisiete (2017). Radicación número: 25000-23-26-000-1997-03892-01(36442).</w:t>
            </w:r>
          </w:p>
          <w:p w14:paraId="16583DCF" w14:textId="6752AACE" w:rsidR="004B32D0" w:rsidRPr="00961D49" w:rsidRDefault="004B32D0" w:rsidP="00C00AD4">
            <w:pPr>
              <w:pStyle w:val="Textonotapie"/>
              <w:jc w:val="both"/>
              <w:rPr>
                <w:rFonts w:ascii="Arial" w:hAnsi="Arial" w:cs="Arial"/>
              </w:rPr>
            </w:pPr>
          </w:p>
          <w:p w14:paraId="534FD3CB" w14:textId="14A67294" w:rsidR="00AB593F" w:rsidRPr="00961D49" w:rsidRDefault="00557CAF" w:rsidP="00C00AD4">
            <w:pPr>
              <w:pStyle w:val="Textonotapie"/>
              <w:jc w:val="both"/>
              <w:rPr>
                <w:rFonts w:ascii="Arial" w:hAnsi="Arial" w:cs="Arial"/>
              </w:rPr>
            </w:pPr>
            <w:r w:rsidRPr="00961D49">
              <w:rPr>
                <w:rFonts w:ascii="Arial" w:hAnsi="Arial" w:cs="Arial"/>
              </w:rPr>
              <w:t xml:space="preserve">Consejo de Estado. Sección Cuarta. Radicado 05001-23-31-000-2005-07797-01(19698), sentencia del 15 de mayo de 2014. Consejero ponente Martha Teresa Briceño de Valencia. </w:t>
            </w:r>
          </w:p>
        </w:tc>
      </w:tr>
    </w:tbl>
    <w:p w14:paraId="2AACD241" w14:textId="77777777" w:rsidR="00A52AE6" w:rsidRPr="00C00AD4" w:rsidRDefault="00A52AE6" w:rsidP="00C00AD4">
      <w:pPr>
        <w:contextualSpacing/>
        <w:jc w:val="both"/>
        <w:rPr>
          <w:rFonts w:ascii="Arial" w:hAnsi="Arial" w:cs="Arial"/>
          <w:b/>
          <w:bCs/>
        </w:rPr>
      </w:pPr>
    </w:p>
    <w:p w14:paraId="430AC92D" w14:textId="77777777" w:rsidR="00A52AE6" w:rsidRPr="00C00AD4" w:rsidRDefault="00A52AE6" w:rsidP="00C00AD4">
      <w:pPr>
        <w:contextualSpacing/>
        <w:jc w:val="both"/>
        <w:rPr>
          <w:rFonts w:ascii="Arial" w:hAnsi="Arial" w:cs="Arial"/>
          <w:bCs/>
          <w:lang w:val="es-ES"/>
        </w:rPr>
      </w:pPr>
      <w:r w:rsidRPr="00C00AD4">
        <w:rPr>
          <w:rFonts w:ascii="Arial" w:hAnsi="Arial" w:cs="Arial"/>
          <w:b/>
          <w:bCs/>
          <w:lang w:val="es-ES"/>
        </w:rPr>
        <w:t>IDENTIFICACIÓN DE LA CONSULTA</w:t>
      </w:r>
    </w:p>
    <w:p w14:paraId="0FD49AB8" w14:textId="77777777" w:rsidR="00A52AE6" w:rsidRPr="00C00AD4" w:rsidRDefault="00A52AE6" w:rsidP="00C00AD4">
      <w:pPr>
        <w:contextualSpacing/>
        <w:jc w:val="both"/>
        <w:rPr>
          <w:rFonts w:ascii="Arial" w:hAnsi="Arial" w:cs="Arial"/>
          <w:bCs/>
          <w:lang w:val="es-ES"/>
        </w:rPr>
      </w:pPr>
    </w:p>
    <w:p w14:paraId="3D79FB2B" w14:textId="30C89492" w:rsidR="003F47B0" w:rsidRPr="00C00AD4" w:rsidRDefault="002C0063" w:rsidP="00C00AD4">
      <w:pPr>
        <w:jc w:val="both"/>
        <w:rPr>
          <w:rFonts w:ascii="Arial" w:hAnsi="Arial" w:cs="Arial"/>
        </w:rPr>
      </w:pPr>
      <w:r w:rsidRPr="00C00AD4">
        <w:rPr>
          <w:rFonts w:ascii="Arial" w:hAnsi="Arial" w:cs="Arial"/>
        </w:rPr>
        <w:t>El Instituto Distrita</w:t>
      </w:r>
      <w:r w:rsidR="0049626E" w:rsidRPr="00C00AD4">
        <w:rPr>
          <w:rFonts w:ascii="Arial" w:hAnsi="Arial" w:cs="Arial"/>
        </w:rPr>
        <w:t xml:space="preserve">l de Protección y Bienestar Animal </w:t>
      </w:r>
      <w:r w:rsidR="00936AEF" w:rsidRPr="00C00AD4">
        <w:rPr>
          <w:rFonts w:ascii="Arial" w:hAnsi="Arial" w:cs="Arial"/>
        </w:rPr>
        <w:t>consulta</w:t>
      </w:r>
      <w:r w:rsidR="003F47B0" w:rsidRPr="00C00AD4">
        <w:rPr>
          <w:rFonts w:ascii="Arial" w:hAnsi="Arial" w:cs="Arial"/>
        </w:rPr>
        <w:t>:</w:t>
      </w:r>
    </w:p>
    <w:p w14:paraId="6377F3A5" w14:textId="77777777" w:rsidR="003F47B0" w:rsidRPr="00C00AD4" w:rsidRDefault="003F47B0" w:rsidP="00C00AD4">
      <w:pPr>
        <w:jc w:val="both"/>
        <w:rPr>
          <w:rFonts w:ascii="Arial" w:hAnsi="Arial" w:cs="Arial"/>
        </w:rPr>
      </w:pPr>
    </w:p>
    <w:p w14:paraId="10B3AE27" w14:textId="0085EFE6" w:rsidR="00C1694E" w:rsidRPr="00C00AD4" w:rsidRDefault="003F47B0" w:rsidP="00C00AD4">
      <w:pPr>
        <w:jc w:val="both"/>
        <w:rPr>
          <w:rFonts w:ascii="Arial" w:hAnsi="Arial" w:cs="Arial"/>
        </w:rPr>
      </w:pPr>
      <w:r w:rsidRPr="00C00AD4">
        <w:rPr>
          <w:rFonts w:ascii="Arial" w:hAnsi="Arial" w:cs="Arial"/>
        </w:rPr>
        <w:t>¿Se</w:t>
      </w:r>
      <w:r w:rsidR="00BC4A9F" w:rsidRPr="00C00AD4">
        <w:rPr>
          <w:rFonts w:ascii="Arial" w:hAnsi="Arial" w:cs="Arial"/>
        </w:rPr>
        <w:t xml:space="preserve"> puede hacer uso de los elementos, equipos, insumos y demás</w:t>
      </w:r>
      <w:r w:rsidR="007708EF" w:rsidRPr="00C00AD4">
        <w:rPr>
          <w:rFonts w:ascii="Arial" w:hAnsi="Arial" w:cs="Arial"/>
        </w:rPr>
        <w:t xml:space="preserve"> </w:t>
      </w:r>
      <w:r w:rsidR="00BC4A9F" w:rsidRPr="00C00AD4">
        <w:rPr>
          <w:rFonts w:ascii="Arial" w:hAnsi="Arial" w:cs="Arial"/>
        </w:rPr>
        <w:t xml:space="preserve">bienes recibidos a satisfacción con ocasión del proceso de </w:t>
      </w:r>
      <w:r w:rsidR="00181B19" w:rsidRPr="00C00AD4">
        <w:rPr>
          <w:rFonts w:ascii="Arial" w:hAnsi="Arial" w:cs="Arial"/>
        </w:rPr>
        <w:t>s</w:t>
      </w:r>
      <w:r w:rsidR="00BC4A9F" w:rsidRPr="00C00AD4">
        <w:rPr>
          <w:rFonts w:ascii="Arial" w:hAnsi="Arial" w:cs="Arial"/>
        </w:rPr>
        <w:t xml:space="preserve">elección </w:t>
      </w:r>
      <w:r w:rsidR="00181B19" w:rsidRPr="00C00AD4">
        <w:rPr>
          <w:rFonts w:ascii="Arial" w:hAnsi="Arial" w:cs="Arial"/>
        </w:rPr>
        <w:t>a</w:t>
      </w:r>
      <w:r w:rsidR="00BC4A9F" w:rsidRPr="00C00AD4">
        <w:rPr>
          <w:rFonts w:ascii="Arial" w:hAnsi="Arial" w:cs="Arial"/>
        </w:rPr>
        <w:t xml:space="preserve">breviada por </w:t>
      </w:r>
      <w:r w:rsidR="00181B19" w:rsidRPr="00C00AD4">
        <w:rPr>
          <w:rFonts w:ascii="Arial" w:hAnsi="Arial" w:cs="Arial"/>
        </w:rPr>
        <w:t>s</w:t>
      </w:r>
      <w:r w:rsidR="00BC4A9F" w:rsidRPr="00C00AD4">
        <w:rPr>
          <w:rFonts w:ascii="Arial" w:hAnsi="Arial" w:cs="Arial"/>
        </w:rPr>
        <w:t>ubasta</w:t>
      </w:r>
      <w:r w:rsidR="00C1694E" w:rsidRPr="00C00AD4">
        <w:rPr>
          <w:rFonts w:ascii="Arial" w:hAnsi="Arial" w:cs="Arial"/>
        </w:rPr>
        <w:t xml:space="preserve"> </w:t>
      </w:r>
      <w:r w:rsidR="00181B19" w:rsidRPr="00C00AD4">
        <w:rPr>
          <w:rFonts w:ascii="Arial" w:hAnsi="Arial" w:cs="Arial"/>
        </w:rPr>
        <w:t>i</w:t>
      </w:r>
      <w:r w:rsidR="00BC4A9F" w:rsidRPr="00C00AD4">
        <w:rPr>
          <w:rFonts w:ascii="Arial" w:hAnsi="Arial" w:cs="Arial"/>
        </w:rPr>
        <w:t xml:space="preserve">nversa </w:t>
      </w:r>
      <w:r w:rsidR="00181B19" w:rsidRPr="00C00AD4">
        <w:rPr>
          <w:rFonts w:ascii="Arial" w:hAnsi="Arial" w:cs="Arial"/>
        </w:rPr>
        <w:t>e</w:t>
      </w:r>
      <w:r w:rsidR="00BC4A9F" w:rsidRPr="00C00AD4">
        <w:rPr>
          <w:rFonts w:ascii="Arial" w:hAnsi="Arial" w:cs="Arial"/>
        </w:rPr>
        <w:t>lectrónica SASI-029-2020 y la terminación de los Contratos 001 de</w:t>
      </w:r>
      <w:r w:rsidR="000C6351" w:rsidRPr="00C00AD4">
        <w:rPr>
          <w:rFonts w:ascii="Arial" w:hAnsi="Arial" w:cs="Arial"/>
        </w:rPr>
        <w:t xml:space="preserve"> </w:t>
      </w:r>
      <w:r w:rsidR="00BC4A9F" w:rsidRPr="00C00AD4">
        <w:rPr>
          <w:rFonts w:ascii="Arial" w:hAnsi="Arial" w:cs="Arial"/>
        </w:rPr>
        <w:t>2021 y</w:t>
      </w:r>
      <w:r w:rsidR="00181B19" w:rsidRPr="00C00AD4">
        <w:rPr>
          <w:rFonts w:ascii="Arial" w:hAnsi="Arial" w:cs="Arial"/>
        </w:rPr>
        <w:t xml:space="preserve"> </w:t>
      </w:r>
      <w:r w:rsidR="00BC4A9F" w:rsidRPr="00C00AD4">
        <w:rPr>
          <w:rFonts w:ascii="Arial" w:hAnsi="Arial" w:cs="Arial"/>
        </w:rPr>
        <w:t>002 de</w:t>
      </w:r>
      <w:r w:rsidR="00B4636F" w:rsidRPr="00C00AD4">
        <w:rPr>
          <w:rFonts w:ascii="Arial" w:hAnsi="Arial" w:cs="Arial"/>
        </w:rPr>
        <w:t xml:space="preserve"> </w:t>
      </w:r>
      <w:r w:rsidR="00BC4A9F" w:rsidRPr="00C00AD4">
        <w:rPr>
          <w:rFonts w:ascii="Arial" w:hAnsi="Arial" w:cs="Arial"/>
        </w:rPr>
        <w:t>2021, en el desarrollo de las actividades que adelanta la Unidad de Cuidado Animal de</w:t>
      </w:r>
      <w:r w:rsidR="00C1694E" w:rsidRPr="00C00AD4">
        <w:rPr>
          <w:rFonts w:ascii="Arial" w:hAnsi="Arial" w:cs="Arial"/>
        </w:rPr>
        <w:t xml:space="preserve"> </w:t>
      </w:r>
      <w:r w:rsidR="00BC4A9F" w:rsidRPr="00C00AD4">
        <w:rPr>
          <w:rFonts w:ascii="Arial" w:hAnsi="Arial" w:cs="Arial"/>
        </w:rPr>
        <w:t xml:space="preserve">este </w:t>
      </w:r>
      <w:r w:rsidR="00B23110" w:rsidRPr="00C00AD4">
        <w:rPr>
          <w:rFonts w:ascii="Arial" w:hAnsi="Arial" w:cs="Arial"/>
        </w:rPr>
        <w:t>Instituto?</w:t>
      </w:r>
      <w:r w:rsidR="00BC4A9F" w:rsidRPr="00C00AD4">
        <w:rPr>
          <w:rFonts w:ascii="Arial" w:hAnsi="Arial" w:cs="Arial"/>
        </w:rPr>
        <w:t xml:space="preserve"> </w:t>
      </w:r>
    </w:p>
    <w:p w14:paraId="4B1005F4" w14:textId="77777777" w:rsidR="00C1694E" w:rsidRPr="00C00AD4" w:rsidRDefault="00C1694E" w:rsidP="00C00AD4">
      <w:pPr>
        <w:jc w:val="both"/>
        <w:rPr>
          <w:rFonts w:ascii="Arial" w:hAnsi="Arial" w:cs="Arial"/>
        </w:rPr>
      </w:pPr>
    </w:p>
    <w:p w14:paraId="692BCC50" w14:textId="77777777" w:rsidR="00476531" w:rsidRPr="00C00AD4" w:rsidRDefault="00390780" w:rsidP="00C00AD4">
      <w:pPr>
        <w:jc w:val="both"/>
        <w:rPr>
          <w:rFonts w:ascii="Arial" w:hAnsi="Arial" w:cs="Arial"/>
        </w:rPr>
      </w:pPr>
      <w:r w:rsidRPr="00C00AD4">
        <w:rPr>
          <w:rFonts w:ascii="Arial" w:hAnsi="Arial" w:cs="Arial"/>
        </w:rPr>
        <w:lastRenderedPageBreak/>
        <w:t>¿</w:t>
      </w:r>
      <w:r w:rsidR="00476531" w:rsidRPr="00C00AD4">
        <w:rPr>
          <w:rFonts w:ascii="Arial" w:hAnsi="Arial" w:cs="Arial"/>
        </w:rPr>
        <w:t>Los elementos</w:t>
      </w:r>
      <w:r w:rsidR="00E75F72" w:rsidRPr="00C00AD4">
        <w:rPr>
          <w:rFonts w:ascii="Arial" w:hAnsi="Arial" w:cs="Arial"/>
        </w:rPr>
        <w:t>, equipos,</w:t>
      </w:r>
      <w:r w:rsidR="008111F9" w:rsidRPr="00C00AD4">
        <w:rPr>
          <w:rFonts w:ascii="Arial" w:hAnsi="Arial" w:cs="Arial"/>
        </w:rPr>
        <w:t xml:space="preserve"> </w:t>
      </w:r>
      <w:r w:rsidR="00E75F72" w:rsidRPr="00C00AD4">
        <w:rPr>
          <w:rFonts w:ascii="Arial" w:hAnsi="Arial" w:cs="Arial"/>
        </w:rPr>
        <w:t>insumos y bienes</w:t>
      </w:r>
      <w:r w:rsidR="00DA73E3" w:rsidRPr="00C00AD4">
        <w:rPr>
          <w:rFonts w:ascii="Arial" w:hAnsi="Arial" w:cs="Arial"/>
        </w:rPr>
        <w:t>,</w:t>
      </w:r>
      <w:r w:rsidR="00E75F72" w:rsidRPr="00C00AD4">
        <w:rPr>
          <w:rFonts w:ascii="Arial" w:hAnsi="Arial" w:cs="Arial"/>
        </w:rPr>
        <w:t xml:space="preserve"> adquiridos</w:t>
      </w:r>
      <w:r w:rsidR="00BB7993" w:rsidRPr="00C00AD4">
        <w:rPr>
          <w:rFonts w:ascii="Arial" w:hAnsi="Arial" w:cs="Arial"/>
        </w:rPr>
        <w:t xml:space="preserve"> </w:t>
      </w:r>
      <w:r w:rsidR="00E75F72" w:rsidRPr="00C00AD4">
        <w:rPr>
          <w:rFonts w:ascii="Arial" w:hAnsi="Arial" w:cs="Arial"/>
        </w:rPr>
        <w:t>a trav</w:t>
      </w:r>
      <w:r w:rsidR="008111F9" w:rsidRPr="00C00AD4">
        <w:rPr>
          <w:rFonts w:ascii="Arial" w:hAnsi="Arial" w:cs="Arial"/>
        </w:rPr>
        <w:t>é</w:t>
      </w:r>
      <w:r w:rsidR="00E75F72" w:rsidRPr="00C00AD4">
        <w:rPr>
          <w:rFonts w:ascii="Arial" w:hAnsi="Arial" w:cs="Arial"/>
        </w:rPr>
        <w:t>s del proyecto 7556 del IDPYBA,</w:t>
      </w:r>
      <w:r w:rsidR="00DA73E3" w:rsidRPr="00C00AD4">
        <w:rPr>
          <w:rFonts w:ascii="Arial" w:hAnsi="Arial" w:cs="Arial"/>
        </w:rPr>
        <w:t xml:space="preserve"> </w:t>
      </w:r>
      <w:r w:rsidR="00383A45" w:rsidRPr="00C00AD4">
        <w:rPr>
          <w:rFonts w:ascii="Arial" w:hAnsi="Arial" w:cs="Arial"/>
        </w:rPr>
        <w:t xml:space="preserve">se </w:t>
      </w:r>
      <w:r w:rsidR="00E75F72" w:rsidRPr="00C00AD4">
        <w:rPr>
          <w:rFonts w:ascii="Arial" w:hAnsi="Arial" w:cs="Arial"/>
        </w:rPr>
        <w:t>pueden volver a adquirir en la siguiente anualidad bajo el mismo proyecto y, por</w:t>
      </w:r>
      <w:r w:rsidR="006B3DCB" w:rsidRPr="00C00AD4">
        <w:rPr>
          <w:rFonts w:ascii="Arial" w:hAnsi="Arial" w:cs="Arial"/>
        </w:rPr>
        <w:t xml:space="preserve"> </w:t>
      </w:r>
      <w:r w:rsidR="00E75F72" w:rsidRPr="00C00AD4">
        <w:rPr>
          <w:rFonts w:ascii="Arial" w:hAnsi="Arial" w:cs="Arial"/>
        </w:rPr>
        <w:t>tanto, programarse en el presupuesto anual para la vigencia 2023, con el mismo objeto</w:t>
      </w:r>
      <w:r w:rsidR="00DA73E3" w:rsidRPr="00C00AD4">
        <w:rPr>
          <w:rFonts w:ascii="Arial" w:hAnsi="Arial" w:cs="Arial"/>
        </w:rPr>
        <w:t xml:space="preserve"> </w:t>
      </w:r>
      <w:r w:rsidR="00E75F72" w:rsidRPr="00C00AD4">
        <w:rPr>
          <w:rFonts w:ascii="Arial" w:hAnsi="Arial" w:cs="Arial"/>
        </w:rPr>
        <w:t>y finalidad</w:t>
      </w:r>
      <w:r w:rsidR="00476531" w:rsidRPr="00C00AD4">
        <w:rPr>
          <w:rFonts w:ascii="Arial" w:hAnsi="Arial" w:cs="Arial"/>
        </w:rPr>
        <w:t>?</w:t>
      </w:r>
    </w:p>
    <w:p w14:paraId="42AD1A6C" w14:textId="77777777" w:rsidR="00476531" w:rsidRPr="00C00AD4" w:rsidRDefault="00476531" w:rsidP="00C00AD4">
      <w:pPr>
        <w:jc w:val="both"/>
        <w:rPr>
          <w:rFonts w:ascii="Arial" w:hAnsi="Arial" w:cs="Arial"/>
        </w:rPr>
      </w:pPr>
    </w:p>
    <w:p w14:paraId="4554440C" w14:textId="19F87DE8" w:rsidR="00E75F72" w:rsidRPr="00C00AD4" w:rsidRDefault="00A32262" w:rsidP="00C00AD4">
      <w:pPr>
        <w:jc w:val="both"/>
        <w:rPr>
          <w:rFonts w:ascii="Arial" w:hAnsi="Arial" w:cs="Arial"/>
        </w:rPr>
      </w:pPr>
      <w:r w:rsidRPr="00C00AD4">
        <w:rPr>
          <w:rFonts w:ascii="Arial" w:hAnsi="Arial" w:cs="Arial"/>
        </w:rPr>
        <w:t>¿La estructura de costos se ve afectada, en caso de que se requieran utilizar los elementos o bienes en un proyecto distinto al inicialmente presupuestado y, si con esto se infringe el principio de especialización del gasto, en el entendido que los mismos se destinarían para suplir una necesidad igual dentro de la entidad, pero en un espacio diferente, es decir, en la UCA?</w:t>
      </w:r>
    </w:p>
    <w:p w14:paraId="21E1CC18" w14:textId="77777777" w:rsidR="00E75F72" w:rsidRPr="00C00AD4" w:rsidRDefault="00E75F72" w:rsidP="00C00AD4">
      <w:pPr>
        <w:jc w:val="both"/>
        <w:rPr>
          <w:rFonts w:ascii="Arial" w:hAnsi="Arial" w:cs="Arial"/>
        </w:rPr>
      </w:pPr>
    </w:p>
    <w:p w14:paraId="3CD2CFC4" w14:textId="77777777" w:rsidR="005044BD" w:rsidRPr="00C00AD4" w:rsidRDefault="005044BD" w:rsidP="00C00AD4">
      <w:pPr>
        <w:jc w:val="both"/>
        <w:rPr>
          <w:rFonts w:ascii="Arial" w:hAnsi="Arial" w:cs="Arial"/>
          <w:b/>
          <w:bCs/>
        </w:rPr>
      </w:pPr>
      <w:r w:rsidRPr="00C00AD4">
        <w:rPr>
          <w:rFonts w:ascii="Arial" w:hAnsi="Arial" w:cs="Arial"/>
          <w:b/>
          <w:bCs/>
        </w:rPr>
        <w:t>ANTECEDENTES</w:t>
      </w:r>
    </w:p>
    <w:p w14:paraId="6109EB59" w14:textId="77777777" w:rsidR="00E75F72" w:rsidRPr="00C00AD4" w:rsidRDefault="00E75F72" w:rsidP="00C00AD4">
      <w:pPr>
        <w:jc w:val="both"/>
        <w:rPr>
          <w:rFonts w:ascii="Arial" w:hAnsi="Arial" w:cs="Arial"/>
        </w:rPr>
      </w:pPr>
    </w:p>
    <w:p w14:paraId="15E9BAB5" w14:textId="77777777" w:rsidR="002A76EE" w:rsidRPr="00C00AD4" w:rsidRDefault="000035F5" w:rsidP="00C00AD4">
      <w:pPr>
        <w:jc w:val="both"/>
        <w:rPr>
          <w:rFonts w:ascii="Arial" w:hAnsi="Arial" w:cs="Arial"/>
        </w:rPr>
      </w:pPr>
      <w:r w:rsidRPr="00C00AD4">
        <w:rPr>
          <w:rFonts w:ascii="Arial" w:hAnsi="Arial" w:cs="Arial"/>
        </w:rPr>
        <w:t>El artículo 1 del Decreto 085 de 2013</w:t>
      </w:r>
      <w:r w:rsidR="000E0C82" w:rsidRPr="00C00AD4">
        <w:rPr>
          <w:rStyle w:val="Refdenotaalpie"/>
          <w:rFonts w:ascii="Arial" w:hAnsi="Arial" w:cs="Arial"/>
        </w:rPr>
        <w:footnoteReference w:id="1"/>
      </w:r>
      <w:r w:rsidRPr="00C00AD4">
        <w:rPr>
          <w:rFonts w:ascii="Arial" w:hAnsi="Arial" w:cs="Arial"/>
        </w:rPr>
        <w:t xml:space="preserve"> ordenó adecuar en Bogotá el Centro Ecológico Distrital de Protección y Bienestar Animal – CEA – “Casa Ecológica de los Animales”, como equipamiento dotacional de apoyo a los programas de protección ambiental para el manejo integral de la fauna del Distrito Capital</w:t>
      </w:r>
      <w:r w:rsidR="002A76EE" w:rsidRPr="00C00AD4">
        <w:rPr>
          <w:rFonts w:ascii="Arial" w:hAnsi="Arial" w:cs="Arial"/>
        </w:rPr>
        <w:t>.</w:t>
      </w:r>
    </w:p>
    <w:p w14:paraId="6C6386B4" w14:textId="77777777" w:rsidR="002A76EE" w:rsidRPr="00C00AD4" w:rsidRDefault="002A76EE" w:rsidP="00C00AD4">
      <w:pPr>
        <w:jc w:val="both"/>
        <w:rPr>
          <w:rFonts w:ascii="Arial" w:hAnsi="Arial" w:cs="Arial"/>
        </w:rPr>
      </w:pPr>
    </w:p>
    <w:p w14:paraId="06202157" w14:textId="32334B46" w:rsidR="00D63857" w:rsidRPr="00C00AD4" w:rsidRDefault="0050546D" w:rsidP="00C00AD4">
      <w:pPr>
        <w:jc w:val="both"/>
        <w:rPr>
          <w:rFonts w:ascii="Arial" w:hAnsi="Arial" w:cs="Arial"/>
        </w:rPr>
      </w:pPr>
      <w:r w:rsidRPr="00C00AD4">
        <w:rPr>
          <w:rFonts w:ascii="Arial" w:hAnsi="Arial" w:cs="Arial"/>
        </w:rPr>
        <w:t>A</w:t>
      </w:r>
      <w:r w:rsidR="000035F5" w:rsidRPr="00C00AD4">
        <w:rPr>
          <w:rFonts w:ascii="Arial" w:hAnsi="Arial" w:cs="Arial"/>
        </w:rPr>
        <w:t xml:space="preserve"> la Secretaría Distrital de Ambiente</w:t>
      </w:r>
      <w:r w:rsidRPr="00C00AD4">
        <w:rPr>
          <w:rFonts w:ascii="Arial" w:hAnsi="Arial" w:cs="Arial"/>
        </w:rPr>
        <w:t xml:space="preserve"> le fue asignada </w:t>
      </w:r>
      <w:r w:rsidR="000035F5" w:rsidRPr="00C00AD4">
        <w:rPr>
          <w:rFonts w:ascii="Arial" w:hAnsi="Arial" w:cs="Arial"/>
        </w:rPr>
        <w:t>la responsabilidad de la construcción del “Centro Ecológico Distrital de protección y Bienestar Animal – CEA – “Casa Ecológica de los Animales”</w:t>
      </w:r>
      <w:r w:rsidR="00103623" w:rsidRPr="00C00AD4">
        <w:rPr>
          <w:rFonts w:ascii="Arial" w:hAnsi="Arial" w:cs="Arial"/>
        </w:rPr>
        <w:t xml:space="preserve">, con los respectivos recursos para </w:t>
      </w:r>
      <w:r w:rsidR="000035F5" w:rsidRPr="00C00AD4">
        <w:rPr>
          <w:rFonts w:ascii="Arial" w:hAnsi="Arial" w:cs="Arial"/>
        </w:rPr>
        <w:t>suscribir el Contrato de Obra 20171382-2017</w:t>
      </w:r>
      <w:r w:rsidR="00CD7784" w:rsidRPr="00C00AD4">
        <w:rPr>
          <w:rFonts w:ascii="Arial" w:hAnsi="Arial" w:cs="Arial"/>
        </w:rPr>
        <w:t>,</w:t>
      </w:r>
      <w:r w:rsidR="000035F5" w:rsidRPr="00C00AD4">
        <w:rPr>
          <w:rFonts w:ascii="Arial" w:hAnsi="Arial" w:cs="Arial"/>
        </w:rPr>
        <w:t xml:space="preserve"> con el cual se está ejecutando la fase uno (1) del proyecto</w:t>
      </w:r>
      <w:r w:rsidR="00CD7784" w:rsidRPr="00C00AD4">
        <w:rPr>
          <w:rFonts w:ascii="Arial" w:hAnsi="Arial" w:cs="Arial"/>
        </w:rPr>
        <w:t>.</w:t>
      </w:r>
      <w:r w:rsidR="00396575" w:rsidRPr="00C00AD4">
        <w:rPr>
          <w:rStyle w:val="Refdenotaalpie"/>
          <w:rFonts w:ascii="Arial" w:hAnsi="Arial" w:cs="Arial"/>
        </w:rPr>
        <w:footnoteReference w:id="2"/>
      </w:r>
    </w:p>
    <w:p w14:paraId="6D5EDA2B" w14:textId="77777777" w:rsidR="00D63857" w:rsidRPr="00C00AD4" w:rsidRDefault="00D63857" w:rsidP="00C00AD4">
      <w:pPr>
        <w:jc w:val="both"/>
        <w:rPr>
          <w:rFonts w:ascii="Arial" w:hAnsi="Arial" w:cs="Arial"/>
        </w:rPr>
      </w:pPr>
    </w:p>
    <w:p w14:paraId="5E4E83B6" w14:textId="74DB96F1" w:rsidR="00BA0EB5" w:rsidRPr="00C00AD4" w:rsidRDefault="0060358F" w:rsidP="00C00AD4">
      <w:pPr>
        <w:jc w:val="both"/>
        <w:rPr>
          <w:rFonts w:ascii="Arial" w:hAnsi="Arial" w:cs="Arial"/>
        </w:rPr>
      </w:pPr>
      <w:r w:rsidRPr="00C00AD4">
        <w:rPr>
          <w:rFonts w:ascii="Arial" w:hAnsi="Arial" w:cs="Arial"/>
        </w:rPr>
        <w:t>L</w:t>
      </w:r>
      <w:r w:rsidR="000035F5" w:rsidRPr="00C00AD4">
        <w:rPr>
          <w:rFonts w:ascii="Arial" w:hAnsi="Arial" w:cs="Arial"/>
        </w:rPr>
        <w:t>a administración técnica y logística de la infraestructura y equipamientos destinados para la protección y bienestar anima</w:t>
      </w:r>
      <w:r w:rsidRPr="00C00AD4">
        <w:rPr>
          <w:rFonts w:ascii="Arial" w:hAnsi="Arial" w:cs="Arial"/>
        </w:rPr>
        <w:t xml:space="preserve">l </w:t>
      </w:r>
      <w:r w:rsidR="00267989" w:rsidRPr="00C00AD4">
        <w:rPr>
          <w:rFonts w:ascii="Arial" w:hAnsi="Arial" w:cs="Arial"/>
        </w:rPr>
        <w:t>c</w:t>
      </w:r>
      <w:r w:rsidRPr="00C00AD4">
        <w:rPr>
          <w:rFonts w:ascii="Arial" w:hAnsi="Arial" w:cs="Arial"/>
        </w:rPr>
        <w:t>orresponde al Instituto Distrital de Protección y Bienestar Animal</w:t>
      </w:r>
      <w:r w:rsidR="000035F5" w:rsidRPr="00C00AD4">
        <w:rPr>
          <w:rFonts w:ascii="Arial" w:hAnsi="Arial" w:cs="Arial"/>
        </w:rPr>
        <w:t xml:space="preserve">, razón por la cual, </w:t>
      </w:r>
      <w:r w:rsidR="00510C0F" w:rsidRPr="00C00AD4">
        <w:rPr>
          <w:rFonts w:ascii="Arial" w:hAnsi="Arial" w:cs="Arial"/>
        </w:rPr>
        <w:t xml:space="preserve">una vez </w:t>
      </w:r>
      <w:r w:rsidR="00461AE7" w:rsidRPr="00C00AD4">
        <w:rPr>
          <w:rFonts w:ascii="Arial" w:hAnsi="Arial" w:cs="Arial"/>
        </w:rPr>
        <w:t xml:space="preserve">finalizara </w:t>
      </w:r>
      <w:r w:rsidR="000035F5" w:rsidRPr="00C00AD4">
        <w:rPr>
          <w:rFonts w:ascii="Arial" w:hAnsi="Arial" w:cs="Arial"/>
        </w:rPr>
        <w:t>la construcción de la obra</w:t>
      </w:r>
      <w:r w:rsidR="005F4054" w:rsidRPr="00C00AD4">
        <w:rPr>
          <w:rFonts w:ascii="Arial" w:hAnsi="Arial" w:cs="Arial"/>
        </w:rPr>
        <w:t>,</w:t>
      </w:r>
      <w:r w:rsidR="003427F1" w:rsidRPr="00C00AD4">
        <w:rPr>
          <w:rFonts w:ascii="Arial" w:hAnsi="Arial" w:cs="Arial"/>
        </w:rPr>
        <w:t xml:space="preserve"> </w:t>
      </w:r>
      <w:r w:rsidR="000035F5" w:rsidRPr="00C00AD4">
        <w:rPr>
          <w:rFonts w:ascii="Arial" w:hAnsi="Arial" w:cs="Arial"/>
        </w:rPr>
        <w:t>este equipamiento de la - CEA pasaría al I</w:t>
      </w:r>
      <w:r w:rsidR="004B1ACE" w:rsidRPr="00C00AD4">
        <w:rPr>
          <w:rFonts w:ascii="Arial" w:hAnsi="Arial" w:cs="Arial"/>
        </w:rPr>
        <w:t xml:space="preserve">nstituto de </w:t>
      </w:r>
      <w:r w:rsidR="00F00A63" w:rsidRPr="00C00AD4">
        <w:rPr>
          <w:rFonts w:ascii="Arial" w:hAnsi="Arial" w:cs="Arial"/>
        </w:rPr>
        <w:t>Protección</w:t>
      </w:r>
      <w:r w:rsidR="004B1ACE" w:rsidRPr="00C00AD4">
        <w:rPr>
          <w:rFonts w:ascii="Arial" w:hAnsi="Arial" w:cs="Arial"/>
        </w:rPr>
        <w:t xml:space="preserve"> Animal</w:t>
      </w:r>
      <w:r w:rsidR="000035F5" w:rsidRPr="00C00AD4">
        <w:rPr>
          <w:rFonts w:ascii="Arial" w:hAnsi="Arial" w:cs="Arial"/>
        </w:rPr>
        <w:t xml:space="preserve">, con el fin </w:t>
      </w:r>
      <w:r w:rsidR="00906835" w:rsidRPr="00C00AD4">
        <w:rPr>
          <w:rFonts w:ascii="Arial" w:hAnsi="Arial" w:cs="Arial"/>
        </w:rPr>
        <w:t xml:space="preserve">de </w:t>
      </w:r>
      <w:r w:rsidR="000035F5" w:rsidRPr="00C00AD4">
        <w:rPr>
          <w:rFonts w:ascii="Arial" w:hAnsi="Arial" w:cs="Arial"/>
        </w:rPr>
        <w:t>dar cumplimiento a lo preceptuado en el Plan de Desarrollo Distrital</w:t>
      </w:r>
      <w:r w:rsidR="00F06DF5" w:rsidRPr="00C00AD4">
        <w:rPr>
          <w:rStyle w:val="Refdenotaalpie"/>
          <w:rFonts w:ascii="Arial" w:hAnsi="Arial" w:cs="Arial"/>
        </w:rPr>
        <w:footnoteReference w:id="3"/>
      </w:r>
      <w:r w:rsidR="000035F5" w:rsidRPr="00C00AD4">
        <w:rPr>
          <w:rFonts w:ascii="Arial" w:hAnsi="Arial" w:cs="Arial"/>
        </w:rPr>
        <w:t xml:space="preserve"> y el proyecto de inversión 7556 denominado “Dotación y puesta en funcionamiento de la primera etapa e inicio de la construcción de la segunda etapa de la Casa Ecológica de Animales – CEA Bogotá”.</w:t>
      </w:r>
      <w:r w:rsidR="00D96B96" w:rsidRPr="00C00AD4">
        <w:rPr>
          <w:rFonts w:ascii="Arial" w:hAnsi="Arial" w:cs="Arial"/>
        </w:rPr>
        <w:t xml:space="preserve">  </w:t>
      </w:r>
      <w:r w:rsidR="00BD6700" w:rsidRPr="00C00AD4">
        <w:rPr>
          <w:rFonts w:ascii="Arial" w:hAnsi="Arial" w:cs="Arial"/>
        </w:rPr>
        <w:t>E</w:t>
      </w:r>
      <w:r w:rsidR="000035F5" w:rsidRPr="00C00AD4">
        <w:rPr>
          <w:rFonts w:ascii="Arial" w:hAnsi="Arial" w:cs="Arial"/>
        </w:rPr>
        <w:t xml:space="preserve">l IDPYBA esperaba recibir la Casa Ecológica de Animales – CEA </w:t>
      </w:r>
      <w:r w:rsidR="003B56C0" w:rsidRPr="00C00AD4">
        <w:rPr>
          <w:rFonts w:ascii="Arial" w:hAnsi="Arial" w:cs="Arial"/>
        </w:rPr>
        <w:t xml:space="preserve">el </w:t>
      </w:r>
      <w:r w:rsidR="000035F5" w:rsidRPr="00C00AD4">
        <w:rPr>
          <w:rFonts w:ascii="Arial" w:hAnsi="Arial" w:cs="Arial"/>
        </w:rPr>
        <w:t>26 de noviembre de 2020</w:t>
      </w:r>
      <w:r w:rsidR="00AB1A9A" w:rsidRPr="00C00AD4">
        <w:rPr>
          <w:rFonts w:ascii="Arial" w:hAnsi="Arial" w:cs="Arial"/>
        </w:rPr>
        <w:t xml:space="preserve">.  </w:t>
      </w:r>
    </w:p>
    <w:p w14:paraId="2C6FEA0A" w14:textId="77777777" w:rsidR="00BA0EB5" w:rsidRPr="00C00AD4" w:rsidRDefault="00BA0EB5" w:rsidP="00C00AD4">
      <w:pPr>
        <w:jc w:val="both"/>
        <w:rPr>
          <w:rFonts w:ascii="Arial" w:hAnsi="Arial" w:cs="Arial"/>
        </w:rPr>
      </w:pPr>
    </w:p>
    <w:p w14:paraId="6067994D" w14:textId="273A8593" w:rsidR="001D2EF7" w:rsidRPr="00C00AD4" w:rsidRDefault="004066EF" w:rsidP="00C00AD4">
      <w:pPr>
        <w:jc w:val="both"/>
        <w:rPr>
          <w:rFonts w:ascii="Arial" w:hAnsi="Arial" w:cs="Arial"/>
        </w:rPr>
      </w:pPr>
      <w:r w:rsidRPr="00C00AD4">
        <w:rPr>
          <w:rFonts w:ascii="Arial" w:hAnsi="Arial" w:cs="Arial"/>
        </w:rPr>
        <w:t xml:space="preserve">Menciona que </w:t>
      </w:r>
      <w:r w:rsidR="000035F5" w:rsidRPr="00C00AD4">
        <w:rPr>
          <w:rFonts w:ascii="Arial" w:hAnsi="Arial" w:cs="Arial"/>
        </w:rPr>
        <w:t xml:space="preserve">el 14 de octubre de 2020 el </w:t>
      </w:r>
      <w:r w:rsidR="00906835" w:rsidRPr="00C00AD4">
        <w:rPr>
          <w:rFonts w:ascii="Arial" w:hAnsi="Arial" w:cs="Arial"/>
        </w:rPr>
        <w:t xml:space="preserve">Instituto de Protección Animal  </w:t>
      </w:r>
      <w:r w:rsidR="000035F5" w:rsidRPr="00C00AD4">
        <w:rPr>
          <w:rFonts w:ascii="Arial" w:hAnsi="Arial" w:cs="Arial"/>
        </w:rPr>
        <w:t xml:space="preserve">remitió el anteproyecto de presupuesto 2021, el cual contemplaba el cumplimiento de metas y </w:t>
      </w:r>
      <w:r w:rsidR="000035F5" w:rsidRPr="00C00AD4">
        <w:rPr>
          <w:rFonts w:ascii="Arial" w:hAnsi="Arial" w:cs="Arial"/>
        </w:rPr>
        <w:lastRenderedPageBreak/>
        <w:t>ejecución proyectada para el proyecto de Inversión 7556</w:t>
      </w:r>
      <w:r w:rsidR="00906835" w:rsidRPr="00C00AD4">
        <w:rPr>
          <w:rFonts w:ascii="Arial" w:hAnsi="Arial" w:cs="Arial"/>
        </w:rPr>
        <w:t>,</w:t>
      </w:r>
      <w:r w:rsidR="000035F5" w:rsidRPr="00C00AD4">
        <w:rPr>
          <w:rFonts w:ascii="Arial" w:hAnsi="Arial" w:cs="Arial"/>
        </w:rPr>
        <w:t xml:space="preserve"> “Dotación y puesta en funcionamiento (primera etapa) e inicio de la construcción (segunda etapa) de la Casa Ecológica de los Animales -CEA Bogotá”,</w:t>
      </w:r>
      <w:r w:rsidR="00C56B7A" w:rsidRPr="00C00AD4">
        <w:rPr>
          <w:rFonts w:ascii="Arial" w:hAnsi="Arial" w:cs="Arial"/>
        </w:rPr>
        <w:t xml:space="preserve"> a la cual </w:t>
      </w:r>
      <w:r w:rsidR="000035F5" w:rsidRPr="00C00AD4">
        <w:rPr>
          <w:rFonts w:ascii="Arial" w:hAnsi="Arial" w:cs="Arial"/>
        </w:rPr>
        <w:t xml:space="preserve">se anexó certificación con la programación de los recursos que financiarían </w:t>
      </w:r>
      <w:r w:rsidR="00906835" w:rsidRPr="00C00AD4">
        <w:rPr>
          <w:rFonts w:ascii="Arial" w:hAnsi="Arial" w:cs="Arial"/>
        </w:rPr>
        <w:t xml:space="preserve">los </w:t>
      </w:r>
      <w:r w:rsidR="000035F5" w:rsidRPr="00C00AD4">
        <w:rPr>
          <w:rFonts w:ascii="Arial" w:hAnsi="Arial" w:cs="Arial"/>
        </w:rPr>
        <w:t xml:space="preserve">procesos de contratación en curso (PCC). </w:t>
      </w:r>
    </w:p>
    <w:p w14:paraId="69367081" w14:textId="77777777" w:rsidR="001D2EF7" w:rsidRPr="00C00AD4" w:rsidRDefault="001D2EF7" w:rsidP="00C00AD4">
      <w:pPr>
        <w:jc w:val="both"/>
        <w:rPr>
          <w:rFonts w:ascii="Arial" w:hAnsi="Arial" w:cs="Arial"/>
        </w:rPr>
      </w:pPr>
    </w:p>
    <w:p w14:paraId="2F38DA12" w14:textId="24E7E7F5" w:rsidR="00E75F72" w:rsidRPr="00C00AD4" w:rsidRDefault="000035F5" w:rsidP="00C00AD4">
      <w:pPr>
        <w:jc w:val="both"/>
        <w:rPr>
          <w:rFonts w:ascii="Arial" w:hAnsi="Arial" w:cs="Arial"/>
        </w:rPr>
      </w:pPr>
      <w:r w:rsidRPr="00C00AD4">
        <w:rPr>
          <w:rFonts w:ascii="Arial" w:hAnsi="Arial" w:cs="Arial"/>
        </w:rPr>
        <w:t xml:space="preserve">En virtud de lo anterior, </w:t>
      </w:r>
      <w:r w:rsidR="00DD5313" w:rsidRPr="00C00AD4">
        <w:rPr>
          <w:rFonts w:ascii="Arial" w:hAnsi="Arial" w:cs="Arial"/>
        </w:rPr>
        <w:t>e</w:t>
      </w:r>
      <w:r w:rsidRPr="00C00AD4">
        <w:rPr>
          <w:rFonts w:ascii="Arial" w:hAnsi="Arial" w:cs="Arial"/>
        </w:rPr>
        <w:t xml:space="preserve">l </w:t>
      </w:r>
      <w:r w:rsidR="00F01190" w:rsidRPr="00C00AD4">
        <w:rPr>
          <w:rFonts w:ascii="Arial" w:hAnsi="Arial" w:cs="Arial"/>
        </w:rPr>
        <w:t xml:space="preserve">Instituto, </w:t>
      </w:r>
      <w:r w:rsidRPr="00C00AD4">
        <w:rPr>
          <w:rFonts w:ascii="Arial" w:hAnsi="Arial" w:cs="Arial"/>
        </w:rPr>
        <w:t>frente a la dotación y puesta en funcionamiento de la primera etapa de la CEA</w:t>
      </w:r>
      <w:r w:rsidR="00F01190" w:rsidRPr="00C00AD4">
        <w:rPr>
          <w:rFonts w:ascii="Arial" w:hAnsi="Arial" w:cs="Arial"/>
        </w:rPr>
        <w:t>,</w:t>
      </w:r>
      <w:r w:rsidRPr="00C00AD4">
        <w:rPr>
          <w:rFonts w:ascii="Arial" w:hAnsi="Arial" w:cs="Arial"/>
        </w:rPr>
        <w:t xml:space="preserve"> programó para la vigencia 2020 recursos </w:t>
      </w:r>
      <w:r w:rsidR="001421B6" w:rsidRPr="00C00AD4">
        <w:rPr>
          <w:rFonts w:ascii="Arial" w:hAnsi="Arial" w:cs="Arial"/>
        </w:rPr>
        <w:t>por</w:t>
      </w:r>
      <w:r w:rsidR="00506536" w:rsidRPr="00C00AD4">
        <w:rPr>
          <w:rFonts w:ascii="Arial" w:hAnsi="Arial" w:cs="Arial"/>
        </w:rPr>
        <w:t xml:space="preserve"> valor de </w:t>
      </w:r>
      <w:r w:rsidRPr="00C00AD4">
        <w:rPr>
          <w:rFonts w:ascii="Arial" w:hAnsi="Arial" w:cs="Arial"/>
        </w:rPr>
        <w:t>$1.227.178.580, con los cuales se adelantó el proceso de contratación de selección abreviada por subasta inversa SASI-029-2020</w:t>
      </w:r>
      <w:r w:rsidR="004726F1" w:rsidRPr="00C00AD4">
        <w:rPr>
          <w:rFonts w:ascii="Arial" w:hAnsi="Arial" w:cs="Arial"/>
        </w:rPr>
        <w:t>.</w:t>
      </w:r>
    </w:p>
    <w:p w14:paraId="7032AB83" w14:textId="77777777" w:rsidR="00E75F72" w:rsidRPr="00C00AD4" w:rsidRDefault="00E75F72" w:rsidP="00C00AD4">
      <w:pPr>
        <w:jc w:val="both"/>
        <w:rPr>
          <w:rFonts w:ascii="Arial" w:hAnsi="Arial" w:cs="Arial"/>
        </w:rPr>
      </w:pPr>
    </w:p>
    <w:p w14:paraId="6303D7CB" w14:textId="6E1DBC3D" w:rsidR="00A45E8F" w:rsidRPr="00C00AD4" w:rsidRDefault="00544188" w:rsidP="00C00AD4">
      <w:pPr>
        <w:jc w:val="both"/>
        <w:rPr>
          <w:rFonts w:ascii="Arial" w:hAnsi="Arial" w:cs="Arial"/>
        </w:rPr>
      </w:pPr>
      <w:r w:rsidRPr="00C00AD4">
        <w:rPr>
          <w:rFonts w:ascii="Arial" w:hAnsi="Arial" w:cs="Arial"/>
        </w:rPr>
        <w:t>Hace mención que</w:t>
      </w:r>
      <w:r w:rsidR="00A45E8F" w:rsidRPr="00C00AD4">
        <w:rPr>
          <w:rFonts w:ascii="Arial" w:hAnsi="Arial" w:cs="Arial"/>
        </w:rPr>
        <w:t xml:space="preserve"> le</w:t>
      </w:r>
      <w:r w:rsidR="00B758B5" w:rsidRPr="00C00AD4">
        <w:rPr>
          <w:rFonts w:ascii="Arial" w:hAnsi="Arial" w:cs="Arial"/>
        </w:rPr>
        <w:t>s</w:t>
      </w:r>
      <w:r w:rsidR="00A45E8F" w:rsidRPr="00C00AD4">
        <w:rPr>
          <w:rFonts w:ascii="Arial" w:hAnsi="Arial" w:cs="Arial"/>
        </w:rPr>
        <w:t xml:space="preserve"> fue comunicado que la entrega de la CEA se</w:t>
      </w:r>
      <w:r w:rsidR="00C44A74" w:rsidRPr="00C00AD4">
        <w:rPr>
          <w:rFonts w:ascii="Arial" w:hAnsi="Arial" w:cs="Arial"/>
        </w:rPr>
        <w:t xml:space="preserve"> </w:t>
      </w:r>
      <w:r w:rsidR="00A45E8F" w:rsidRPr="00C00AD4">
        <w:rPr>
          <w:rFonts w:ascii="Arial" w:hAnsi="Arial" w:cs="Arial"/>
        </w:rPr>
        <w:t>había modificado y que no era posible realizarla en la vigencia del año 2020, sino que esta</w:t>
      </w:r>
      <w:r w:rsidR="00C44A74" w:rsidRPr="00C00AD4">
        <w:rPr>
          <w:rFonts w:ascii="Arial" w:hAnsi="Arial" w:cs="Arial"/>
        </w:rPr>
        <w:t xml:space="preserve"> </w:t>
      </w:r>
      <w:r w:rsidR="00A45E8F" w:rsidRPr="00C00AD4">
        <w:rPr>
          <w:rFonts w:ascii="Arial" w:hAnsi="Arial" w:cs="Arial"/>
        </w:rPr>
        <w:t>se aplazaba para el primer trimestre de la vigencia del año 2021, motivo por el cual se dio</w:t>
      </w:r>
      <w:r w:rsidR="00C44A74" w:rsidRPr="00C00AD4">
        <w:rPr>
          <w:rFonts w:ascii="Arial" w:hAnsi="Arial" w:cs="Arial"/>
        </w:rPr>
        <w:t xml:space="preserve"> </w:t>
      </w:r>
      <w:r w:rsidR="00A45E8F" w:rsidRPr="00C00AD4">
        <w:rPr>
          <w:rFonts w:ascii="Arial" w:hAnsi="Arial" w:cs="Arial"/>
        </w:rPr>
        <w:t>continuidad al proceso en curso para dicho proyecto en aras de adelantar la gestión y así</w:t>
      </w:r>
      <w:r w:rsidR="00C44A74" w:rsidRPr="00C00AD4">
        <w:rPr>
          <w:rFonts w:ascii="Arial" w:hAnsi="Arial" w:cs="Arial"/>
        </w:rPr>
        <w:t xml:space="preserve"> </w:t>
      </w:r>
      <w:r w:rsidR="00A45E8F" w:rsidRPr="00C00AD4">
        <w:rPr>
          <w:rFonts w:ascii="Arial" w:hAnsi="Arial" w:cs="Arial"/>
        </w:rPr>
        <w:t>contar con dotación</w:t>
      </w:r>
      <w:r w:rsidR="00DB3E8E" w:rsidRPr="00C00AD4">
        <w:rPr>
          <w:rFonts w:ascii="Arial" w:hAnsi="Arial" w:cs="Arial"/>
        </w:rPr>
        <w:t>,</w:t>
      </w:r>
      <w:r w:rsidR="00A45E8F" w:rsidRPr="00C00AD4">
        <w:rPr>
          <w:rFonts w:ascii="Arial" w:hAnsi="Arial" w:cs="Arial"/>
        </w:rPr>
        <w:t xml:space="preserve"> una vez esta fuera entregada.</w:t>
      </w:r>
    </w:p>
    <w:p w14:paraId="2012F9F7" w14:textId="77777777" w:rsidR="00C44A74" w:rsidRPr="00C00AD4" w:rsidRDefault="00C44A74" w:rsidP="00C00AD4">
      <w:pPr>
        <w:jc w:val="both"/>
        <w:rPr>
          <w:rFonts w:ascii="Arial" w:hAnsi="Arial" w:cs="Arial"/>
        </w:rPr>
      </w:pPr>
    </w:p>
    <w:p w14:paraId="6561EBB0" w14:textId="2B9BF959" w:rsidR="00240E2C" w:rsidRPr="00C00AD4" w:rsidRDefault="004D1577" w:rsidP="00C00AD4">
      <w:pPr>
        <w:jc w:val="both"/>
        <w:rPr>
          <w:rFonts w:ascii="Arial" w:hAnsi="Arial" w:cs="Arial"/>
        </w:rPr>
      </w:pPr>
      <w:r w:rsidRPr="00C00AD4">
        <w:rPr>
          <w:rFonts w:ascii="Arial" w:hAnsi="Arial" w:cs="Arial"/>
        </w:rPr>
        <w:t xml:space="preserve">Destacó que </w:t>
      </w:r>
      <w:r w:rsidR="00240E2C" w:rsidRPr="00C00AD4">
        <w:rPr>
          <w:rFonts w:ascii="Arial" w:hAnsi="Arial" w:cs="Arial"/>
        </w:rPr>
        <w:t>tanto el CTO-001-2021</w:t>
      </w:r>
      <w:r w:rsidR="005841E8" w:rsidRPr="00C00AD4">
        <w:rPr>
          <w:rFonts w:ascii="Arial" w:hAnsi="Arial" w:cs="Arial"/>
        </w:rPr>
        <w:t>,</w:t>
      </w:r>
      <w:r w:rsidR="00240E2C" w:rsidRPr="00C00AD4">
        <w:rPr>
          <w:rFonts w:ascii="Arial" w:hAnsi="Arial" w:cs="Arial"/>
        </w:rPr>
        <w:t xml:space="preserve"> como el CTO-002-2021,</w:t>
      </w:r>
      <w:r w:rsidR="00EC703B" w:rsidRPr="00C00AD4">
        <w:rPr>
          <w:rFonts w:ascii="Arial" w:hAnsi="Arial" w:cs="Arial"/>
        </w:rPr>
        <w:t xml:space="preserve"> </w:t>
      </w:r>
      <w:r w:rsidR="00240E2C" w:rsidRPr="00C00AD4">
        <w:rPr>
          <w:rFonts w:ascii="Arial" w:hAnsi="Arial" w:cs="Arial"/>
        </w:rPr>
        <w:t>finalizaron su ejecución y los elementos, equipos, insumos y demás bienes adquiridos</w:t>
      </w:r>
      <w:r w:rsidR="00737E79" w:rsidRPr="00C00AD4">
        <w:rPr>
          <w:rFonts w:ascii="Arial" w:hAnsi="Arial" w:cs="Arial"/>
        </w:rPr>
        <w:t xml:space="preserve"> </w:t>
      </w:r>
      <w:r w:rsidR="00240E2C" w:rsidRPr="00C00AD4">
        <w:rPr>
          <w:rFonts w:ascii="Arial" w:hAnsi="Arial" w:cs="Arial"/>
        </w:rPr>
        <w:t>fueron recibido</w:t>
      </w:r>
      <w:r w:rsidR="005841E8" w:rsidRPr="00C00AD4">
        <w:rPr>
          <w:rFonts w:ascii="Arial" w:hAnsi="Arial" w:cs="Arial"/>
        </w:rPr>
        <w:t>s</w:t>
      </w:r>
      <w:r w:rsidR="00240E2C" w:rsidRPr="00C00AD4">
        <w:rPr>
          <w:rFonts w:ascii="Arial" w:hAnsi="Arial" w:cs="Arial"/>
        </w:rPr>
        <w:t xml:space="preserve"> a satisfacción por el I</w:t>
      </w:r>
      <w:r w:rsidR="005841E8" w:rsidRPr="00C00AD4">
        <w:rPr>
          <w:rFonts w:ascii="Arial" w:hAnsi="Arial" w:cs="Arial"/>
        </w:rPr>
        <w:t>nstituto</w:t>
      </w:r>
      <w:r w:rsidR="00240E2C" w:rsidRPr="00C00AD4">
        <w:rPr>
          <w:rFonts w:ascii="Arial" w:hAnsi="Arial" w:cs="Arial"/>
        </w:rPr>
        <w:t xml:space="preserve">. No obstante, ante </w:t>
      </w:r>
      <w:r w:rsidR="00E377F6" w:rsidRPr="00C00AD4">
        <w:rPr>
          <w:rFonts w:ascii="Arial" w:hAnsi="Arial" w:cs="Arial"/>
        </w:rPr>
        <w:t>e</w:t>
      </w:r>
      <w:r w:rsidR="00FC6405" w:rsidRPr="00C00AD4">
        <w:rPr>
          <w:rFonts w:ascii="Arial" w:hAnsi="Arial" w:cs="Arial"/>
        </w:rPr>
        <w:t xml:space="preserve">l </w:t>
      </w:r>
      <w:r w:rsidR="00240E2C" w:rsidRPr="00C00AD4">
        <w:rPr>
          <w:rFonts w:ascii="Arial" w:hAnsi="Arial" w:cs="Arial"/>
        </w:rPr>
        <w:t>desconocimiento de la fecha probable de entrega de</w:t>
      </w:r>
      <w:r w:rsidR="00926BDE" w:rsidRPr="00C00AD4">
        <w:rPr>
          <w:rFonts w:ascii="Arial" w:hAnsi="Arial" w:cs="Arial"/>
        </w:rPr>
        <w:t xml:space="preserve"> </w:t>
      </w:r>
      <w:r w:rsidR="00240E2C" w:rsidRPr="00C00AD4">
        <w:rPr>
          <w:rFonts w:ascii="Arial" w:hAnsi="Arial" w:cs="Arial"/>
        </w:rPr>
        <w:t xml:space="preserve">la CEA al </w:t>
      </w:r>
      <w:r w:rsidR="00F21B05" w:rsidRPr="00C00AD4">
        <w:rPr>
          <w:rFonts w:ascii="Arial" w:hAnsi="Arial" w:cs="Arial"/>
        </w:rPr>
        <w:t>I</w:t>
      </w:r>
      <w:r w:rsidR="00040F3E" w:rsidRPr="00C00AD4">
        <w:rPr>
          <w:rFonts w:ascii="Arial" w:hAnsi="Arial" w:cs="Arial"/>
        </w:rPr>
        <w:t>nstituto de Protección Animal</w:t>
      </w:r>
      <w:r w:rsidR="00F21B05" w:rsidRPr="00C00AD4">
        <w:rPr>
          <w:rFonts w:ascii="Arial" w:hAnsi="Arial" w:cs="Arial"/>
        </w:rPr>
        <w:t>, es</w:t>
      </w:r>
      <w:r w:rsidR="00240E2C" w:rsidRPr="00C00AD4">
        <w:rPr>
          <w:rFonts w:ascii="Arial" w:hAnsi="Arial" w:cs="Arial"/>
        </w:rPr>
        <w:t xml:space="preserve"> </w:t>
      </w:r>
      <w:r w:rsidR="004A1E30" w:rsidRPr="00C00AD4">
        <w:rPr>
          <w:rFonts w:ascii="Arial" w:hAnsi="Arial" w:cs="Arial"/>
        </w:rPr>
        <w:t>im</w:t>
      </w:r>
      <w:r w:rsidR="00240E2C" w:rsidRPr="00C00AD4">
        <w:rPr>
          <w:rFonts w:ascii="Arial" w:hAnsi="Arial" w:cs="Arial"/>
        </w:rPr>
        <w:t xml:space="preserve">posible darle </w:t>
      </w:r>
      <w:r w:rsidR="004A1E30" w:rsidRPr="00C00AD4">
        <w:rPr>
          <w:rFonts w:ascii="Arial" w:hAnsi="Arial" w:cs="Arial"/>
        </w:rPr>
        <w:t xml:space="preserve">el uso para el cual </w:t>
      </w:r>
      <w:r w:rsidR="00240E2C" w:rsidRPr="00C00AD4">
        <w:rPr>
          <w:rFonts w:ascii="Arial" w:hAnsi="Arial" w:cs="Arial"/>
        </w:rPr>
        <w:t>fueron adquiridos dichos elementos.</w:t>
      </w:r>
      <w:r w:rsidR="000669F9" w:rsidRPr="00C00AD4">
        <w:rPr>
          <w:rFonts w:ascii="Arial" w:hAnsi="Arial" w:cs="Arial"/>
        </w:rPr>
        <w:t xml:space="preserve"> </w:t>
      </w:r>
      <w:r w:rsidR="00C31F8C" w:rsidRPr="00C00AD4">
        <w:rPr>
          <w:rFonts w:ascii="Arial" w:hAnsi="Arial" w:cs="Arial"/>
        </w:rPr>
        <w:t xml:space="preserve">Aclara que </w:t>
      </w:r>
      <w:r w:rsidR="00240E2C" w:rsidRPr="00C00AD4">
        <w:rPr>
          <w:rFonts w:ascii="Arial" w:hAnsi="Arial" w:cs="Arial"/>
        </w:rPr>
        <w:t>los elementos, equipos, insumos y demás bienes adquiridos por el Instituto</w:t>
      </w:r>
      <w:r w:rsidR="000669F9" w:rsidRPr="00C00AD4">
        <w:rPr>
          <w:rFonts w:ascii="Arial" w:hAnsi="Arial" w:cs="Arial"/>
        </w:rPr>
        <w:t xml:space="preserve"> </w:t>
      </w:r>
      <w:r w:rsidR="00240E2C" w:rsidRPr="00C00AD4">
        <w:rPr>
          <w:rFonts w:ascii="Arial" w:hAnsi="Arial" w:cs="Arial"/>
        </w:rPr>
        <w:t>responden a las necesidades identificadas en la prestación de servicios de carácter</w:t>
      </w:r>
      <w:r w:rsidR="003A28CD" w:rsidRPr="00C00AD4">
        <w:rPr>
          <w:rFonts w:ascii="Arial" w:hAnsi="Arial" w:cs="Arial"/>
        </w:rPr>
        <w:t xml:space="preserve"> </w:t>
      </w:r>
      <w:r w:rsidR="00240E2C" w:rsidRPr="00C00AD4">
        <w:rPr>
          <w:rFonts w:ascii="Arial" w:hAnsi="Arial" w:cs="Arial"/>
        </w:rPr>
        <w:t>misional que se desarrollan en la Unidad de Cuidado Animal - UCA.</w:t>
      </w:r>
    </w:p>
    <w:p w14:paraId="72249C1A" w14:textId="77777777" w:rsidR="00066388" w:rsidRPr="00C00AD4" w:rsidRDefault="00066388" w:rsidP="00C00AD4">
      <w:pPr>
        <w:jc w:val="both"/>
        <w:rPr>
          <w:rFonts w:ascii="Arial" w:hAnsi="Arial" w:cs="Arial"/>
        </w:rPr>
      </w:pPr>
    </w:p>
    <w:p w14:paraId="08DE4B57" w14:textId="1CC9BB08" w:rsidR="000D65B8" w:rsidRPr="00C00AD4" w:rsidRDefault="003D321E" w:rsidP="00C00AD4">
      <w:pPr>
        <w:jc w:val="both"/>
        <w:rPr>
          <w:rFonts w:ascii="Arial" w:hAnsi="Arial" w:cs="Arial"/>
        </w:rPr>
      </w:pPr>
      <w:r w:rsidRPr="00C00AD4">
        <w:rPr>
          <w:rFonts w:ascii="Arial" w:hAnsi="Arial" w:cs="Arial"/>
        </w:rPr>
        <w:t>Asevera que</w:t>
      </w:r>
      <w:r w:rsidR="00AE1E7B" w:rsidRPr="00C00AD4">
        <w:rPr>
          <w:rFonts w:ascii="Arial" w:hAnsi="Arial" w:cs="Arial"/>
        </w:rPr>
        <w:t>,</w:t>
      </w:r>
      <w:r w:rsidR="00EA34AA" w:rsidRPr="00C00AD4">
        <w:rPr>
          <w:rFonts w:ascii="Arial" w:hAnsi="Arial" w:cs="Arial"/>
        </w:rPr>
        <w:t xml:space="preserve"> </w:t>
      </w:r>
      <w:r w:rsidR="00944E92" w:rsidRPr="00C00AD4">
        <w:rPr>
          <w:rFonts w:ascii="Arial" w:hAnsi="Arial" w:cs="Arial"/>
        </w:rPr>
        <w:t>en aras de evitar la depreciación de elementos, equipos, insumos y</w:t>
      </w:r>
      <w:r w:rsidR="00C27B99" w:rsidRPr="00C00AD4">
        <w:rPr>
          <w:rFonts w:ascii="Arial" w:hAnsi="Arial" w:cs="Arial"/>
        </w:rPr>
        <w:t xml:space="preserve"> </w:t>
      </w:r>
      <w:r w:rsidR="00944E92" w:rsidRPr="00C00AD4">
        <w:rPr>
          <w:rFonts w:ascii="Arial" w:hAnsi="Arial" w:cs="Arial"/>
        </w:rPr>
        <w:t>demás bienes adquiridos por su no utilización,</w:t>
      </w:r>
      <w:r w:rsidR="00303708" w:rsidRPr="00C00AD4">
        <w:rPr>
          <w:rFonts w:ascii="Arial" w:hAnsi="Arial" w:cs="Arial"/>
        </w:rPr>
        <w:t xml:space="preserve"> </w:t>
      </w:r>
      <w:r w:rsidR="00944E92" w:rsidRPr="00C00AD4">
        <w:rPr>
          <w:rFonts w:ascii="Arial" w:hAnsi="Arial" w:cs="Arial"/>
        </w:rPr>
        <w:t xml:space="preserve">resulta necesaria la obtención de una autorización </w:t>
      </w:r>
      <w:r w:rsidR="00524222" w:rsidRPr="00C00AD4">
        <w:rPr>
          <w:rFonts w:ascii="Arial" w:hAnsi="Arial" w:cs="Arial"/>
        </w:rPr>
        <w:t>que permita el uso de los elementos, equipos, insumos y demás bienes</w:t>
      </w:r>
      <w:r w:rsidR="00715C0C" w:rsidRPr="00C00AD4">
        <w:rPr>
          <w:rFonts w:ascii="Arial" w:hAnsi="Arial" w:cs="Arial"/>
        </w:rPr>
        <w:t xml:space="preserve"> </w:t>
      </w:r>
      <w:r w:rsidR="00524222" w:rsidRPr="00C00AD4">
        <w:rPr>
          <w:rFonts w:ascii="Arial" w:hAnsi="Arial" w:cs="Arial"/>
        </w:rPr>
        <w:t>adquiridos, mientras se materializa la recepción de la CEA por parte del I</w:t>
      </w:r>
      <w:r w:rsidR="004053A9" w:rsidRPr="00C00AD4">
        <w:rPr>
          <w:rFonts w:ascii="Arial" w:hAnsi="Arial" w:cs="Arial"/>
        </w:rPr>
        <w:t>nstituto</w:t>
      </w:r>
      <w:r w:rsidR="00524222" w:rsidRPr="00C00AD4">
        <w:rPr>
          <w:rFonts w:ascii="Arial" w:hAnsi="Arial" w:cs="Arial"/>
        </w:rPr>
        <w:t>, para que</w:t>
      </w:r>
      <w:r w:rsidR="00715C0C" w:rsidRPr="00C00AD4">
        <w:rPr>
          <w:rFonts w:ascii="Arial" w:hAnsi="Arial" w:cs="Arial"/>
        </w:rPr>
        <w:t xml:space="preserve"> </w:t>
      </w:r>
      <w:r w:rsidR="00524222" w:rsidRPr="00C00AD4">
        <w:rPr>
          <w:rFonts w:ascii="Arial" w:hAnsi="Arial" w:cs="Arial"/>
        </w:rPr>
        <w:t>los mismos sean utilizados</w:t>
      </w:r>
      <w:r w:rsidR="004B0CC2" w:rsidRPr="00C00AD4">
        <w:rPr>
          <w:rFonts w:ascii="Arial" w:hAnsi="Arial" w:cs="Arial"/>
        </w:rPr>
        <w:t xml:space="preserve"> en </w:t>
      </w:r>
      <w:r w:rsidR="00524222" w:rsidRPr="00C00AD4">
        <w:rPr>
          <w:rFonts w:ascii="Arial" w:hAnsi="Arial" w:cs="Arial"/>
        </w:rPr>
        <w:t>los diferentes programas d</w:t>
      </w:r>
      <w:r w:rsidR="004053A9" w:rsidRPr="00C00AD4">
        <w:rPr>
          <w:rFonts w:ascii="Arial" w:hAnsi="Arial" w:cs="Arial"/>
        </w:rPr>
        <w:t xml:space="preserve">e la entidad </w:t>
      </w:r>
      <w:r w:rsidR="00852FEE" w:rsidRPr="00C00AD4">
        <w:rPr>
          <w:rFonts w:ascii="Arial" w:hAnsi="Arial" w:cs="Arial"/>
        </w:rPr>
        <w:t xml:space="preserve">consultante.  </w:t>
      </w:r>
    </w:p>
    <w:p w14:paraId="6D6F25A0" w14:textId="3C09FDDE" w:rsidR="00694351" w:rsidRPr="00C00AD4" w:rsidRDefault="00694351" w:rsidP="00C00AD4">
      <w:pPr>
        <w:jc w:val="both"/>
        <w:rPr>
          <w:rFonts w:ascii="Arial" w:hAnsi="Arial" w:cs="Arial"/>
        </w:rPr>
      </w:pPr>
    </w:p>
    <w:p w14:paraId="62CCC159" w14:textId="22A879E2" w:rsidR="00A52AE6" w:rsidRPr="00C00AD4" w:rsidRDefault="00A52AE6" w:rsidP="00C00AD4">
      <w:pPr>
        <w:contextualSpacing/>
        <w:jc w:val="both"/>
        <w:rPr>
          <w:rFonts w:ascii="Arial" w:hAnsi="Arial" w:cs="Arial"/>
          <w:b/>
          <w:bCs/>
        </w:rPr>
      </w:pPr>
      <w:r w:rsidRPr="00C00AD4">
        <w:rPr>
          <w:rFonts w:ascii="Arial" w:hAnsi="Arial" w:cs="Arial"/>
          <w:b/>
          <w:bCs/>
        </w:rPr>
        <w:t>CONSIDERACIONES</w:t>
      </w:r>
    </w:p>
    <w:p w14:paraId="4DDA31CE" w14:textId="4DBEC98B" w:rsidR="00243FA8" w:rsidRPr="00C00AD4" w:rsidRDefault="00243FA8" w:rsidP="00C00AD4">
      <w:pPr>
        <w:jc w:val="both"/>
        <w:rPr>
          <w:rFonts w:ascii="Arial" w:hAnsi="Arial" w:cs="Arial"/>
          <w:lang w:val="es-ES" w:eastAsia="es-CO"/>
        </w:rPr>
      </w:pPr>
    </w:p>
    <w:p w14:paraId="6F886492" w14:textId="0218D1A4" w:rsidR="00AC252E" w:rsidRPr="00C00AD4" w:rsidRDefault="00314B5E" w:rsidP="00C00AD4">
      <w:pPr>
        <w:jc w:val="both"/>
        <w:rPr>
          <w:rFonts w:ascii="Arial" w:hAnsi="Arial" w:cs="Arial"/>
          <w:lang w:val="es-ES" w:eastAsia="es-CO"/>
        </w:rPr>
      </w:pPr>
      <w:r w:rsidRPr="00C00AD4">
        <w:rPr>
          <w:rFonts w:ascii="Arial" w:hAnsi="Arial" w:cs="Arial"/>
          <w:lang w:val="es-ES" w:eastAsia="es-CO"/>
        </w:rPr>
        <w:t>Con e</w:t>
      </w:r>
      <w:r w:rsidR="00852FEE" w:rsidRPr="00C00AD4">
        <w:rPr>
          <w:rFonts w:ascii="Arial" w:hAnsi="Arial" w:cs="Arial"/>
          <w:lang w:val="es-ES" w:eastAsia="es-CO"/>
        </w:rPr>
        <w:t>l</w:t>
      </w:r>
      <w:r w:rsidRPr="00C00AD4">
        <w:rPr>
          <w:rFonts w:ascii="Arial" w:hAnsi="Arial" w:cs="Arial"/>
          <w:lang w:val="es-ES" w:eastAsia="es-CO"/>
        </w:rPr>
        <w:t xml:space="preserve"> propósito de resolver la co</w:t>
      </w:r>
      <w:r w:rsidR="0079664A" w:rsidRPr="00C00AD4">
        <w:rPr>
          <w:rFonts w:ascii="Arial" w:hAnsi="Arial" w:cs="Arial"/>
          <w:lang w:val="es-ES" w:eastAsia="es-CO"/>
        </w:rPr>
        <w:t>nsulta planteada, lo primero que se abordará es la autonomía contractual</w:t>
      </w:r>
      <w:r w:rsidR="005B0639" w:rsidRPr="00C00AD4">
        <w:rPr>
          <w:rFonts w:ascii="Arial" w:hAnsi="Arial" w:cs="Arial"/>
          <w:lang w:val="es-ES" w:eastAsia="es-CO"/>
        </w:rPr>
        <w:t xml:space="preserve"> para luego descender al caso concreto</w:t>
      </w:r>
      <w:r w:rsidR="00852FEE" w:rsidRPr="00C00AD4">
        <w:rPr>
          <w:rFonts w:ascii="Arial" w:hAnsi="Arial" w:cs="Arial"/>
          <w:lang w:val="es-ES" w:eastAsia="es-CO"/>
        </w:rPr>
        <w:t xml:space="preserve">. </w:t>
      </w:r>
      <w:r w:rsidR="00987658" w:rsidRPr="00C00AD4">
        <w:rPr>
          <w:rFonts w:ascii="Arial" w:hAnsi="Arial" w:cs="Arial"/>
          <w:lang w:val="es-ES" w:eastAsia="es-CO"/>
        </w:rPr>
        <w:t xml:space="preserve">Por supuesto, este concepto abordará </w:t>
      </w:r>
      <w:r w:rsidR="00AC252E" w:rsidRPr="00C00AD4">
        <w:rPr>
          <w:rFonts w:ascii="Arial" w:hAnsi="Arial" w:cs="Arial"/>
          <w:lang w:val="es-ES" w:eastAsia="es-CO"/>
        </w:rPr>
        <w:t xml:space="preserve">los principios </w:t>
      </w:r>
      <w:r w:rsidR="00905064" w:rsidRPr="00C00AD4">
        <w:rPr>
          <w:rFonts w:ascii="Arial" w:hAnsi="Arial" w:cs="Arial"/>
          <w:lang w:val="es-ES" w:eastAsia="es-CO"/>
        </w:rPr>
        <w:t>orgánico-presupuestales</w:t>
      </w:r>
      <w:r w:rsidR="00AC252E" w:rsidRPr="00C00AD4">
        <w:rPr>
          <w:rFonts w:ascii="Arial" w:hAnsi="Arial" w:cs="Arial"/>
          <w:lang w:val="es-ES" w:eastAsia="es-CO"/>
        </w:rPr>
        <w:t xml:space="preserve"> aplicables, pues la especificidad de los contratos es conocida por el Instituto.</w:t>
      </w:r>
    </w:p>
    <w:p w14:paraId="4983EF0F" w14:textId="77777777" w:rsidR="0079664A" w:rsidRPr="00C00AD4" w:rsidRDefault="0079664A" w:rsidP="00C00AD4">
      <w:pPr>
        <w:jc w:val="both"/>
        <w:rPr>
          <w:rFonts w:ascii="Arial" w:hAnsi="Arial" w:cs="Arial"/>
          <w:lang w:val="es-ES" w:eastAsia="es-CO"/>
        </w:rPr>
      </w:pPr>
    </w:p>
    <w:p w14:paraId="5EEE5682" w14:textId="0D2F28BE" w:rsidR="00766ACB" w:rsidRPr="00C00AD4" w:rsidRDefault="00F1542E" w:rsidP="00724344">
      <w:pPr>
        <w:ind w:left="567" w:hanging="567"/>
        <w:jc w:val="both"/>
        <w:rPr>
          <w:rFonts w:ascii="Arial" w:eastAsiaTheme="minorHAnsi" w:hAnsi="Arial" w:cs="Arial"/>
          <w:b/>
          <w:bCs/>
        </w:rPr>
      </w:pPr>
      <w:r w:rsidRPr="00C00AD4">
        <w:rPr>
          <w:rFonts w:ascii="Arial" w:eastAsia="Verdana" w:hAnsi="Arial" w:cs="Arial"/>
          <w:b/>
          <w:bCs/>
          <w:noProof/>
        </w:rPr>
        <w:t>1</w:t>
      </w:r>
      <w:r w:rsidR="00AE0287">
        <w:rPr>
          <w:rFonts w:ascii="Arial" w:eastAsia="Verdana" w:hAnsi="Arial" w:cs="Arial"/>
          <w:b/>
          <w:bCs/>
          <w:noProof/>
        </w:rPr>
        <w:t>.</w:t>
      </w:r>
      <w:r w:rsidRPr="00C00AD4">
        <w:rPr>
          <w:rFonts w:ascii="Arial" w:eastAsia="Verdana" w:hAnsi="Arial" w:cs="Arial"/>
          <w:b/>
          <w:bCs/>
          <w:noProof/>
        </w:rPr>
        <w:t xml:space="preserve"> </w:t>
      </w:r>
      <w:r w:rsidR="00766ACB" w:rsidRPr="00C00AD4">
        <w:rPr>
          <w:rFonts w:ascii="Arial" w:eastAsia="Verdana" w:hAnsi="Arial" w:cs="Arial"/>
          <w:b/>
          <w:bCs/>
          <w:noProof/>
        </w:rPr>
        <w:t>Autonomía contractual</w:t>
      </w:r>
    </w:p>
    <w:p w14:paraId="7879AFFC" w14:textId="77777777" w:rsidR="00766ACB" w:rsidRPr="00C00AD4" w:rsidRDefault="00766ACB" w:rsidP="00C00AD4">
      <w:pPr>
        <w:jc w:val="both"/>
        <w:rPr>
          <w:rFonts w:ascii="Arial" w:eastAsiaTheme="minorHAnsi" w:hAnsi="Arial" w:cs="Arial"/>
        </w:rPr>
      </w:pPr>
    </w:p>
    <w:p w14:paraId="6F6152ED" w14:textId="77777777" w:rsidR="00766ACB" w:rsidRPr="00C00AD4" w:rsidRDefault="00766ACB" w:rsidP="00C00AD4">
      <w:pPr>
        <w:jc w:val="both"/>
        <w:rPr>
          <w:rFonts w:ascii="Arial" w:eastAsiaTheme="minorHAnsi" w:hAnsi="Arial" w:cs="Arial"/>
        </w:rPr>
      </w:pPr>
      <w:r w:rsidRPr="00C00AD4">
        <w:rPr>
          <w:rFonts w:ascii="Arial" w:eastAsiaTheme="minorHAnsi" w:hAnsi="Arial" w:cs="Arial"/>
        </w:rPr>
        <w:t>Los artículos 151 y 352 de la Constitución Política de 1991 definen el objeto de la Ley Orgánica de Presupuesto y su mayor jerarquía respecto de las leyes ordinarias, tal como lo ha reconocido la jurisprudencia de la Corte Constitucional, al punto que ha concluido que esta legislación orgánica hace parte del bloque de constitucionalidad.</w:t>
      </w:r>
      <w:r w:rsidRPr="00C00AD4">
        <w:rPr>
          <w:rStyle w:val="Refdenotaalpie"/>
          <w:rFonts w:ascii="Arial" w:eastAsiaTheme="minorHAnsi" w:hAnsi="Arial" w:cs="Arial"/>
        </w:rPr>
        <w:footnoteReference w:id="4"/>
      </w:r>
      <w:r w:rsidRPr="00C00AD4">
        <w:rPr>
          <w:rFonts w:ascii="Arial" w:eastAsiaTheme="minorHAnsi" w:hAnsi="Arial" w:cs="Arial"/>
        </w:rPr>
        <w:t xml:space="preserve"> </w:t>
      </w:r>
    </w:p>
    <w:p w14:paraId="03B73C05" w14:textId="77777777" w:rsidR="00766ACB" w:rsidRPr="00C00AD4" w:rsidRDefault="00766ACB" w:rsidP="00C00AD4">
      <w:pPr>
        <w:jc w:val="both"/>
        <w:rPr>
          <w:rFonts w:ascii="Arial" w:eastAsiaTheme="minorHAnsi" w:hAnsi="Arial" w:cs="Arial"/>
        </w:rPr>
      </w:pPr>
    </w:p>
    <w:p w14:paraId="27865147" w14:textId="02A6A01F" w:rsidR="00766ACB" w:rsidRPr="00C00AD4" w:rsidRDefault="00BC7650" w:rsidP="00C00AD4">
      <w:pPr>
        <w:jc w:val="both"/>
        <w:rPr>
          <w:rFonts w:ascii="Arial" w:eastAsiaTheme="minorHAnsi" w:hAnsi="Arial" w:cs="Arial"/>
        </w:rPr>
      </w:pPr>
      <w:r w:rsidRPr="00C00AD4">
        <w:rPr>
          <w:rFonts w:ascii="Arial" w:eastAsiaTheme="minorHAnsi" w:hAnsi="Arial" w:cs="Arial"/>
        </w:rPr>
        <w:t>En este sentido, u</w:t>
      </w:r>
      <w:r w:rsidR="00766ACB" w:rsidRPr="00C00AD4">
        <w:rPr>
          <w:rFonts w:ascii="Arial" w:eastAsiaTheme="minorHAnsi" w:hAnsi="Arial" w:cs="Arial"/>
        </w:rPr>
        <w:t>no de los aspectos de los que se ocupa la ley orgánica de presupuesto es el relacionado con la capacidad de las entidades estatales para contratar, tal como lo expresa el artículo 352 de la Constitución Política:</w:t>
      </w:r>
    </w:p>
    <w:p w14:paraId="66E8D2E1" w14:textId="77777777" w:rsidR="00766ACB" w:rsidRPr="00C00AD4" w:rsidRDefault="00766ACB" w:rsidP="00C00AD4">
      <w:pPr>
        <w:jc w:val="both"/>
        <w:rPr>
          <w:rFonts w:ascii="Arial" w:eastAsiaTheme="minorHAnsi" w:hAnsi="Arial" w:cs="Arial"/>
        </w:rPr>
      </w:pPr>
    </w:p>
    <w:p w14:paraId="0CEEE386" w14:textId="77777777" w:rsidR="00766ACB" w:rsidRPr="00C00AD4" w:rsidRDefault="00766ACB" w:rsidP="00C00AD4">
      <w:pPr>
        <w:ind w:left="426" w:right="283"/>
        <w:jc w:val="both"/>
        <w:rPr>
          <w:rFonts w:ascii="Arial" w:eastAsiaTheme="minorHAnsi" w:hAnsi="Arial" w:cs="Arial"/>
          <w:i/>
          <w:iCs/>
          <w:sz w:val="22"/>
          <w:szCs w:val="22"/>
        </w:rPr>
      </w:pPr>
      <w:bookmarkStart w:id="2" w:name="352"/>
      <w:r w:rsidRPr="00C00AD4">
        <w:rPr>
          <w:rFonts w:ascii="Arial" w:hAnsi="Arial" w:cs="Arial"/>
          <w:i/>
          <w:iCs/>
          <w:sz w:val="22"/>
          <w:szCs w:val="22"/>
        </w:rPr>
        <w:t>“Artículo 352.</w:t>
      </w:r>
      <w:r w:rsidRPr="00C00AD4">
        <w:rPr>
          <w:rFonts w:ascii="Arial" w:hAnsi="Arial" w:cs="Arial"/>
          <w:b/>
          <w:bCs/>
          <w:i/>
          <w:iCs/>
          <w:sz w:val="22"/>
          <w:szCs w:val="22"/>
        </w:rPr>
        <w:t> </w:t>
      </w:r>
      <w:bookmarkEnd w:id="2"/>
      <w:r w:rsidRPr="00C00AD4">
        <w:rPr>
          <w:rFonts w:ascii="Arial" w:hAnsi="Arial" w:cs="Arial"/>
          <w:i/>
          <w:iCs/>
          <w:sz w:val="22"/>
          <w:szCs w:val="22"/>
        </w:rPr>
        <w:t>Además de lo señalado en esta Constitución, la Ley Orgánica del Presupuesto regulará lo correspondiente a la programación, aprobación, modificación, ejecución de los presupuestos de la Nación, de las entidades territoriales y de los entes descentralizados de cualquier nivel administrativo, y su coordinación con el Plan Nacional de Desarrollo, así como también la capacidad de los organismos y entidades estatales para contratar.”</w:t>
      </w:r>
    </w:p>
    <w:p w14:paraId="439B40BB" w14:textId="77777777" w:rsidR="00766ACB" w:rsidRPr="00C00AD4" w:rsidRDefault="00766ACB" w:rsidP="00C00AD4">
      <w:pPr>
        <w:jc w:val="both"/>
        <w:rPr>
          <w:rFonts w:ascii="Arial" w:eastAsiaTheme="minorHAnsi" w:hAnsi="Arial" w:cs="Arial"/>
        </w:rPr>
      </w:pPr>
    </w:p>
    <w:p w14:paraId="360F107D" w14:textId="77777777" w:rsidR="00766ACB" w:rsidRPr="00C00AD4" w:rsidRDefault="00766ACB" w:rsidP="00C00AD4">
      <w:pPr>
        <w:jc w:val="both"/>
        <w:rPr>
          <w:rFonts w:ascii="Arial" w:hAnsi="Arial" w:cs="Arial"/>
        </w:rPr>
      </w:pPr>
      <w:r w:rsidRPr="00C00AD4">
        <w:rPr>
          <w:rFonts w:ascii="Arial" w:eastAsiaTheme="minorHAnsi" w:hAnsi="Arial" w:cs="Arial"/>
        </w:rPr>
        <w:t>Con este fundamento constitucional, el Capítulo XVI, “D</w:t>
      </w:r>
      <w:r w:rsidRPr="00C00AD4">
        <w:rPr>
          <w:rStyle w:val="baj"/>
          <w:rFonts w:ascii="Arial" w:hAnsi="Arial" w:cs="Arial"/>
        </w:rPr>
        <w:t xml:space="preserve">e la capacidad de contratación, de la ordenación del gasto y de la autonomía presupuestal”, </w:t>
      </w:r>
      <w:r w:rsidRPr="00C00AD4">
        <w:rPr>
          <w:rFonts w:ascii="Arial" w:eastAsiaTheme="minorHAnsi" w:hAnsi="Arial" w:cs="Arial"/>
        </w:rPr>
        <w:t xml:space="preserve">del Estatuto Orgánico del Presupuesto Nacional, Decreto Nacional 111 de 1996, define la capacidad contractual de las entidades que hacen parte de la cobertura del presupuesto anual </w:t>
      </w:r>
      <w:r w:rsidRPr="00C00AD4">
        <w:rPr>
          <w:rStyle w:val="baj"/>
          <w:rFonts w:ascii="Arial" w:hAnsi="Arial" w:cs="Arial"/>
        </w:rPr>
        <w:t>como parte de la autonomía presupuestal:</w:t>
      </w:r>
    </w:p>
    <w:p w14:paraId="7AF85AFB" w14:textId="77777777" w:rsidR="00766ACB" w:rsidRPr="00C00AD4" w:rsidRDefault="00961D49" w:rsidP="00C00AD4">
      <w:pPr>
        <w:rPr>
          <w:rFonts w:ascii="Arial" w:hAnsi="Arial" w:cs="Arial"/>
        </w:rPr>
      </w:pPr>
      <w:hyperlink r:id="rId9" w:anchor="top" w:tooltip="Ir al inicio" w:history="1"/>
    </w:p>
    <w:p w14:paraId="24C74BA4" w14:textId="1A3C635F" w:rsidR="00766ACB" w:rsidRPr="00C00AD4" w:rsidRDefault="00766ACB" w:rsidP="00961D49">
      <w:pPr>
        <w:pStyle w:val="NormalWeb"/>
        <w:spacing w:before="0" w:beforeAutospacing="0" w:after="0" w:afterAutospacing="0"/>
        <w:ind w:left="284" w:right="283"/>
        <w:jc w:val="both"/>
        <w:rPr>
          <w:rFonts w:ascii="Arial" w:hAnsi="Arial" w:cs="Arial"/>
          <w:i/>
          <w:iCs/>
          <w:sz w:val="22"/>
          <w:szCs w:val="22"/>
        </w:rPr>
      </w:pPr>
      <w:bookmarkStart w:id="3" w:name="110"/>
      <w:r w:rsidRPr="00C00AD4">
        <w:rPr>
          <w:rFonts w:ascii="Arial" w:hAnsi="Arial" w:cs="Arial"/>
          <w:b/>
          <w:bCs/>
          <w:i/>
          <w:iCs/>
          <w:sz w:val="22"/>
          <w:szCs w:val="22"/>
        </w:rPr>
        <w:t>“</w:t>
      </w:r>
      <w:r w:rsidRPr="00C00AD4">
        <w:rPr>
          <w:rFonts w:ascii="Arial" w:hAnsi="Arial" w:cs="Arial"/>
          <w:i/>
          <w:iCs/>
          <w:sz w:val="22"/>
          <w:szCs w:val="22"/>
        </w:rPr>
        <w:t>ARTICULO 110.</w:t>
      </w:r>
      <w:r w:rsidRPr="00C00AD4">
        <w:rPr>
          <w:rFonts w:ascii="Arial" w:hAnsi="Arial" w:cs="Arial"/>
          <w:b/>
          <w:bCs/>
          <w:i/>
          <w:iCs/>
          <w:sz w:val="22"/>
          <w:szCs w:val="22"/>
        </w:rPr>
        <w:t> </w:t>
      </w:r>
      <w:bookmarkEnd w:id="3"/>
      <w:r w:rsidRPr="00C00AD4">
        <w:rPr>
          <w:rFonts w:ascii="Arial" w:hAnsi="Arial" w:cs="Arial"/>
          <w:i/>
          <w:iCs/>
          <w:sz w:val="22"/>
          <w:szCs w:val="22"/>
        </w:rPr>
        <w:t xml:space="preserve"> Los órganos que son una sección en el Presupuesto General de la Nación, </w:t>
      </w:r>
      <w:r w:rsidRPr="00C00AD4">
        <w:rPr>
          <w:rFonts w:ascii="Arial" w:hAnsi="Arial" w:cs="Arial"/>
          <w:b/>
          <w:bCs/>
          <w:i/>
          <w:iCs/>
          <w:sz w:val="22"/>
          <w:szCs w:val="22"/>
        </w:rPr>
        <w:t>tendrán la capacidad de contratar y comprometer a nombre de la persona jurídica de la cual hagan parte, y ordenar el gasto en desarrollo de las apropiaciones incorporadas en la respectiva sección, lo que constituye la autonomía presupuestal a que se refieren la Constitución Política y la ley</w:t>
      </w:r>
      <w:r w:rsidRPr="00C00AD4">
        <w:rPr>
          <w:rFonts w:ascii="Arial" w:hAnsi="Arial" w:cs="Arial"/>
          <w:i/>
          <w:iCs/>
          <w:sz w:val="22"/>
          <w:szCs w:val="22"/>
        </w:rPr>
        <w:t>. Estas facultades estarán en cabeza del jefe de cada órgano quien podrá delegarlas en funcionarios del nivel directivo, o quien haga sus veces, y serán ejercidas teniendo en cuenta las normas consagradas en el Estatuto General de Contratación de la Administración Pública y en las disposiciones legales vigentes.” (</w:t>
      </w:r>
      <w:r w:rsidR="000D65B8">
        <w:rPr>
          <w:rFonts w:ascii="Arial" w:hAnsi="Arial" w:cs="Arial"/>
          <w:i/>
          <w:iCs/>
          <w:sz w:val="22"/>
          <w:szCs w:val="22"/>
        </w:rPr>
        <w:t xml:space="preserve">Negrilla </w:t>
      </w:r>
      <w:r w:rsidR="000D65B8" w:rsidRPr="00C00AD4">
        <w:rPr>
          <w:rFonts w:ascii="Arial" w:hAnsi="Arial" w:cs="Arial"/>
          <w:i/>
          <w:iCs/>
          <w:sz w:val="22"/>
          <w:szCs w:val="22"/>
        </w:rPr>
        <w:t xml:space="preserve"> </w:t>
      </w:r>
      <w:r w:rsidRPr="00C00AD4">
        <w:rPr>
          <w:rFonts w:ascii="Arial" w:hAnsi="Arial" w:cs="Arial"/>
          <w:i/>
          <w:iCs/>
          <w:sz w:val="22"/>
          <w:szCs w:val="22"/>
        </w:rPr>
        <w:t xml:space="preserve">fuera del texto) </w:t>
      </w:r>
    </w:p>
    <w:p w14:paraId="0CADA12E" w14:textId="77777777" w:rsidR="00766ACB" w:rsidRPr="00C00AD4" w:rsidRDefault="00766ACB" w:rsidP="00C00AD4">
      <w:pPr>
        <w:pStyle w:val="NormalWeb"/>
        <w:spacing w:before="0" w:beforeAutospacing="0" w:after="0" w:afterAutospacing="0"/>
        <w:ind w:left="284" w:right="283"/>
        <w:jc w:val="both"/>
        <w:rPr>
          <w:rFonts w:ascii="Arial" w:hAnsi="Arial" w:cs="Arial"/>
          <w:i/>
          <w:iCs/>
          <w:sz w:val="22"/>
          <w:szCs w:val="22"/>
        </w:rPr>
      </w:pPr>
    </w:p>
    <w:p w14:paraId="7C0D29F0" w14:textId="025782A9" w:rsidR="00766ACB" w:rsidRPr="00C00AD4" w:rsidRDefault="00766ACB" w:rsidP="00C00AD4">
      <w:pPr>
        <w:jc w:val="both"/>
        <w:rPr>
          <w:rFonts w:ascii="Arial" w:eastAsiaTheme="minorHAnsi" w:hAnsi="Arial" w:cs="Arial"/>
        </w:rPr>
      </w:pPr>
      <w:r w:rsidRPr="00C00AD4">
        <w:rPr>
          <w:rFonts w:ascii="Arial" w:eastAsiaTheme="minorHAnsi" w:hAnsi="Arial" w:cs="Arial"/>
        </w:rPr>
        <w:t xml:space="preserve">Esta misma definición presupuestal es </w:t>
      </w:r>
      <w:r w:rsidR="00AE0287">
        <w:rPr>
          <w:rFonts w:ascii="Arial" w:eastAsiaTheme="minorHAnsi" w:hAnsi="Arial" w:cs="Arial"/>
        </w:rPr>
        <w:t>adoptada</w:t>
      </w:r>
      <w:r w:rsidR="00AE0287" w:rsidRPr="00C00AD4">
        <w:rPr>
          <w:rFonts w:ascii="Arial" w:eastAsiaTheme="minorHAnsi" w:hAnsi="Arial" w:cs="Arial"/>
        </w:rPr>
        <w:t xml:space="preserve"> </w:t>
      </w:r>
      <w:r w:rsidR="004969AC" w:rsidRPr="00C00AD4">
        <w:rPr>
          <w:rFonts w:ascii="Arial" w:eastAsiaTheme="minorHAnsi" w:hAnsi="Arial" w:cs="Arial"/>
        </w:rPr>
        <w:t xml:space="preserve">por </w:t>
      </w:r>
      <w:r w:rsidRPr="00C00AD4">
        <w:rPr>
          <w:rFonts w:ascii="Arial" w:eastAsiaTheme="minorHAnsi" w:hAnsi="Arial" w:cs="Arial"/>
        </w:rPr>
        <w:t>el Estatuto Orgánico del Presupuesto Distrital, Decreto Distrital 714 de 1996:</w:t>
      </w:r>
    </w:p>
    <w:p w14:paraId="200EE04A" w14:textId="77777777" w:rsidR="00766ACB" w:rsidRPr="00C00AD4" w:rsidRDefault="00766ACB" w:rsidP="00C00AD4">
      <w:pPr>
        <w:ind w:left="284" w:right="283"/>
        <w:jc w:val="both"/>
        <w:rPr>
          <w:rFonts w:ascii="Arial" w:eastAsiaTheme="minorHAnsi" w:hAnsi="Arial" w:cs="Arial"/>
          <w:i/>
          <w:iCs/>
        </w:rPr>
      </w:pPr>
    </w:p>
    <w:p w14:paraId="75BF3359" w14:textId="77777777" w:rsidR="00766ACB" w:rsidRPr="00C00AD4" w:rsidRDefault="00766ACB" w:rsidP="00C00AD4">
      <w:pPr>
        <w:ind w:left="426" w:right="283"/>
        <w:jc w:val="both"/>
        <w:rPr>
          <w:rFonts w:ascii="Arial" w:eastAsiaTheme="minorHAnsi" w:hAnsi="Arial" w:cs="Arial"/>
          <w:i/>
          <w:iCs/>
          <w:sz w:val="22"/>
          <w:szCs w:val="22"/>
        </w:rPr>
      </w:pPr>
      <w:r w:rsidRPr="00C00AD4">
        <w:rPr>
          <w:rFonts w:ascii="Arial" w:hAnsi="Arial" w:cs="Arial"/>
          <w:i/>
          <w:iCs/>
          <w:sz w:val="22"/>
          <w:szCs w:val="22"/>
          <w:shd w:val="clear" w:color="auto" w:fill="FFFFFF"/>
        </w:rPr>
        <w:t xml:space="preserve">“ARTÍCULO  87º.- De la Ordenación del Gasto y la Autonomía. Los Órganos y Entidades que conforman el Presupuesto Anual del Distrito Capital, </w:t>
      </w:r>
      <w:r w:rsidRPr="00C00AD4">
        <w:rPr>
          <w:rFonts w:ascii="Arial" w:hAnsi="Arial" w:cs="Arial"/>
          <w:b/>
          <w:bCs/>
          <w:i/>
          <w:iCs/>
          <w:sz w:val="22"/>
          <w:szCs w:val="22"/>
          <w:shd w:val="clear" w:color="auto" w:fill="FFFFFF"/>
        </w:rPr>
        <w:t xml:space="preserve">tendrán la capacidad de contratar y comprometer a nombre de la persona jurídica de la que, hacen parte y ordenar el gasto en desarrollo de las apropiaciones incorporadas en su presupuesto, lo que constituye la autonomía presupuestal a que se </w:t>
      </w:r>
      <w:r w:rsidRPr="00C00AD4">
        <w:rPr>
          <w:rFonts w:ascii="Arial" w:hAnsi="Arial" w:cs="Arial"/>
          <w:b/>
          <w:bCs/>
          <w:i/>
          <w:iCs/>
          <w:sz w:val="22"/>
          <w:szCs w:val="22"/>
          <w:shd w:val="clear" w:color="auto" w:fill="FFFFFF"/>
        </w:rPr>
        <w:lastRenderedPageBreak/>
        <w:t>refieren la Constitución Política y la Ley.</w:t>
      </w:r>
      <w:r w:rsidRPr="00C00AD4">
        <w:rPr>
          <w:rFonts w:ascii="Arial" w:hAnsi="Arial" w:cs="Arial"/>
          <w:i/>
          <w:iCs/>
          <w:sz w:val="22"/>
          <w:szCs w:val="22"/>
          <w:shd w:val="clear" w:color="auto" w:fill="FFFFFF"/>
        </w:rPr>
        <w:t xml:space="preserve"> Estas facultades estarán en cabeza del Jefe de cada Entidad quien podrá delegarlas en funcionarios del nivel directivo y serán ejercidas teniendo en cuenta las normas consagradas en el Estatuto General de Contratación de la Administración Pública y en las disposiciones legales vigentes.”  (Resaltado fuera del texto) </w:t>
      </w:r>
    </w:p>
    <w:p w14:paraId="4321CD93" w14:textId="77777777" w:rsidR="00766ACB" w:rsidRPr="00C00AD4" w:rsidRDefault="00766ACB" w:rsidP="00C00AD4">
      <w:pPr>
        <w:jc w:val="both"/>
        <w:rPr>
          <w:rFonts w:ascii="Arial" w:eastAsiaTheme="minorHAnsi" w:hAnsi="Arial" w:cs="Arial"/>
        </w:rPr>
      </w:pPr>
    </w:p>
    <w:p w14:paraId="02D85E24" w14:textId="77777777" w:rsidR="00766ACB" w:rsidRPr="00C00AD4" w:rsidRDefault="00766ACB" w:rsidP="00C00AD4">
      <w:pPr>
        <w:jc w:val="both"/>
        <w:rPr>
          <w:rFonts w:ascii="Arial" w:eastAsiaTheme="minorHAnsi" w:hAnsi="Arial" w:cs="Arial"/>
        </w:rPr>
      </w:pPr>
      <w:r w:rsidRPr="00C00AD4">
        <w:rPr>
          <w:rFonts w:ascii="Arial" w:eastAsiaTheme="minorHAnsi" w:hAnsi="Arial" w:cs="Arial"/>
        </w:rPr>
        <w:t xml:space="preserve">Con base en estas disposiciones orgánicas del presupuesto, las entidades distritales pueden desarrollar su capacidad de configuración contractual, estableciendo las condiciones técnicas, jurídicas y financieras de sus procesos de selección, debiendo, en todo caso, respetar los principios de igualdad, objetividad y transparencia. </w:t>
      </w:r>
    </w:p>
    <w:p w14:paraId="41A04778" w14:textId="77777777" w:rsidR="00766ACB" w:rsidRPr="00C00AD4" w:rsidRDefault="00766ACB" w:rsidP="00C00AD4">
      <w:pPr>
        <w:jc w:val="both"/>
        <w:rPr>
          <w:rFonts w:ascii="Arial" w:eastAsiaTheme="minorHAnsi" w:hAnsi="Arial" w:cs="Arial"/>
        </w:rPr>
      </w:pPr>
    </w:p>
    <w:p w14:paraId="3CE2AFDF" w14:textId="77777777" w:rsidR="00766ACB" w:rsidRPr="00C00AD4" w:rsidRDefault="00766ACB" w:rsidP="00C00AD4">
      <w:pPr>
        <w:jc w:val="both"/>
        <w:rPr>
          <w:rFonts w:ascii="Arial" w:eastAsiaTheme="minorHAnsi" w:hAnsi="Arial" w:cs="Arial"/>
        </w:rPr>
      </w:pPr>
      <w:r w:rsidRPr="00C00AD4">
        <w:rPr>
          <w:rFonts w:ascii="Arial" w:eastAsiaTheme="minorHAnsi" w:hAnsi="Arial" w:cs="Arial"/>
        </w:rPr>
        <w:t>Al respecto, la jurisprudencia del Consejo de Estado ha señalado</w:t>
      </w:r>
      <w:r w:rsidRPr="00C00AD4">
        <w:rPr>
          <w:rStyle w:val="Refdenotaalpie"/>
          <w:rFonts w:ascii="Arial" w:eastAsiaTheme="minorHAnsi" w:hAnsi="Arial" w:cs="Arial"/>
        </w:rPr>
        <w:footnoteReference w:id="5"/>
      </w:r>
      <w:r w:rsidRPr="00C00AD4">
        <w:rPr>
          <w:rStyle w:val="Refdenotaalpie"/>
          <w:rFonts w:ascii="Arial" w:eastAsiaTheme="minorHAnsi" w:hAnsi="Arial" w:cs="Arial"/>
        </w:rPr>
        <w:t>:</w:t>
      </w:r>
      <w:r w:rsidRPr="00C00AD4">
        <w:rPr>
          <w:rFonts w:ascii="Arial" w:eastAsiaTheme="minorHAnsi" w:hAnsi="Arial" w:cs="Arial"/>
        </w:rPr>
        <w:t>:</w:t>
      </w:r>
    </w:p>
    <w:p w14:paraId="5F81D05B" w14:textId="77777777" w:rsidR="00766ACB" w:rsidRPr="00C00AD4" w:rsidRDefault="00766ACB" w:rsidP="00C00AD4">
      <w:pPr>
        <w:jc w:val="both"/>
        <w:rPr>
          <w:rFonts w:ascii="Arial" w:eastAsiaTheme="minorHAnsi" w:hAnsi="Arial" w:cs="Arial"/>
        </w:rPr>
      </w:pPr>
    </w:p>
    <w:p w14:paraId="122324CE" w14:textId="77777777" w:rsidR="00766ACB" w:rsidRPr="00C00AD4" w:rsidRDefault="00766ACB" w:rsidP="00961D49">
      <w:pPr>
        <w:tabs>
          <w:tab w:val="left" w:pos="8789"/>
        </w:tabs>
        <w:ind w:left="284" w:right="283"/>
        <w:jc w:val="both"/>
        <w:rPr>
          <w:rFonts w:ascii="Arial" w:hAnsi="Arial" w:cs="Arial"/>
          <w:i/>
          <w:iCs/>
          <w:sz w:val="22"/>
          <w:szCs w:val="22"/>
          <w:lang w:eastAsia="es-CO"/>
        </w:rPr>
      </w:pPr>
      <w:r w:rsidRPr="00C00AD4">
        <w:rPr>
          <w:rFonts w:ascii="Arial" w:hAnsi="Arial" w:cs="Arial"/>
          <w:i/>
          <w:iCs/>
          <w:sz w:val="22"/>
          <w:szCs w:val="22"/>
          <w:lang w:eastAsia="es-CO"/>
        </w:rPr>
        <w:t>“Es claro que en el marco legal que rige el procedimiento de selección de contratistas de la licitación pública, las entidades estatales gozan de una relativa libertad de configuración del pliego de condiciones, el cual deberán elaborar estableciendo su contenido de acuerdo con las necesidades de la adquisición que se propone, siempre que se respeten las exigencias mínimas de la ley en cuanto a los elementos configuradores de dicho documento. (…)  Como ya se advirtió, la entidad cuenta con una relativa libertad para elaborar el pliego de condiciones y por lo tanto, puede establecer en él tanto los requisitos de participación como los criterios de selección que considere pertinentes y necesarios, Así, cuando la entidad exige el cumplimiento de un determinado requisito, el destinatario de dicha exigencia debe presentar pruebas de que efectivamente, lo cumple.”</w:t>
      </w:r>
    </w:p>
    <w:p w14:paraId="69479BF8" w14:textId="77777777" w:rsidR="00766ACB" w:rsidRPr="00C00AD4" w:rsidRDefault="00766ACB" w:rsidP="00961D49">
      <w:pPr>
        <w:tabs>
          <w:tab w:val="left" w:pos="8789"/>
        </w:tabs>
        <w:ind w:left="284" w:right="283"/>
        <w:jc w:val="both"/>
        <w:rPr>
          <w:rFonts w:ascii="Arial" w:hAnsi="Arial" w:cs="Arial"/>
          <w:i/>
          <w:iCs/>
          <w:sz w:val="22"/>
          <w:szCs w:val="22"/>
          <w:lang w:eastAsia="es-CO"/>
        </w:rPr>
      </w:pPr>
    </w:p>
    <w:p w14:paraId="7B376E94" w14:textId="77777777" w:rsidR="00766ACB" w:rsidRPr="00C00AD4" w:rsidRDefault="00766ACB" w:rsidP="00961D49">
      <w:pPr>
        <w:tabs>
          <w:tab w:val="left" w:pos="8789"/>
        </w:tabs>
        <w:ind w:left="284" w:right="283"/>
        <w:jc w:val="both"/>
        <w:rPr>
          <w:rFonts w:ascii="Arial" w:hAnsi="Arial" w:cs="Arial"/>
          <w:i/>
          <w:iCs/>
          <w:sz w:val="22"/>
          <w:szCs w:val="22"/>
        </w:rPr>
      </w:pPr>
      <w:r w:rsidRPr="00C00AD4">
        <w:rPr>
          <w:rFonts w:ascii="Arial" w:hAnsi="Arial" w:cs="Arial"/>
          <w:i/>
          <w:iCs/>
          <w:sz w:val="22"/>
          <w:szCs w:val="22"/>
        </w:rPr>
        <w:t>“4. Los límites de la facultad administrativa de configuración de los pliegos de condiciones.</w:t>
      </w:r>
    </w:p>
    <w:p w14:paraId="189A1CC7" w14:textId="77777777" w:rsidR="00766ACB" w:rsidRPr="00C00AD4" w:rsidRDefault="00766ACB" w:rsidP="00961D49">
      <w:pPr>
        <w:tabs>
          <w:tab w:val="left" w:pos="8789"/>
        </w:tabs>
        <w:autoSpaceDE w:val="0"/>
        <w:autoSpaceDN w:val="0"/>
        <w:adjustRightInd w:val="0"/>
        <w:ind w:left="284" w:right="283"/>
        <w:jc w:val="both"/>
        <w:rPr>
          <w:rFonts w:ascii="Arial" w:eastAsia="Calibri" w:hAnsi="Arial" w:cs="Arial"/>
          <w:sz w:val="22"/>
          <w:szCs w:val="22"/>
          <w:lang w:val="es-ES_tradnl" w:eastAsia="es-ES_tradnl"/>
        </w:rPr>
      </w:pPr>
    </w:p>
    <w:p w14:paraId="6B4EBF41" w14:textId="77777777" w:rsidR="00766ACB" w:rsidRPr="00C00AD4" w:rsidRDefault="00766ACB" w:rsidP="00961D49">
      <w:pPr>
        <w:tabs>
          <w:tab w:val="left" w:pos="8789"/>
        </w:tabs>
        <w:ind w:left="284" w:right="283"/>
        <w:contextualSpacing/>
        <w:jc w:val="both"/>
        <w:rPr>
          <w:rFonts w:ascii="Arial" w:hAnsi="Arial" w:cs="Arial"/>
          <w:sz w:val="22"/>
          <w:szCs w:val="22"/>
          <w:lang w:val="es-ES_tradnl" w:eastAsia="es-CO"/>
        </w:rPr>
      </w:pPr>
      <w:r w:rsidRPr="00C00AD4">
        <w:rPr>
          <w:rFonts w:ascii="Arial" w:hAnsi="Arial" w:cs="Arial"/>
          <w:i/>
          <w:iCs/>
          <w:sz w:val="22"/>
          <w:szCs w:val="22"/>
        </w:rPr>
        <w:t>“… [criterios de evaluación o calificación de las ofertas], posibilitan la selección de la propuesta, esto es, están referidos a calificar la oferta, a darle un puntaje, para establecer el mérito de la misma frente al objeto a contratar y, por ende, tienen una conexión directa con la particular necesidad, esto es, una connotación sustancial para la escogencia de la oferta más favorable a los intereses de la entidad.</w:t>
      </w:r>
    </w:p>
    <w:p w14:paraId="470C0CF6" w14:textId="77777777" w:rsidR="00766ACB" w:rsidRPr="00C00AD4" w:rsidRDefault="00766ACB" w:rsidP="00961D49">
      <w:pPr>
        <w:tabs>
          <w:tab w:val="left" w:pos="8789"/>
        </w:tabs>
        <w:autoSpaceDE w:val="0"/>
        <w:autoSpaceDN w:val="0"/>
        <w:adjustRightInd w:val="0"/>
        <w:ind w:left="284" w:right="283"/>
        <w:jc w:val="both"/>
        <w:rPr>
          <w:rFonts w:ascii="Arial" w:hAnsi="Arial" w:cs="Arial"/>
          <w:sz w:val="22"/>
          <w:szCs w:val="22"/>
          <w:lang w:val="es-ES_tradnl" w:eastAsia="es-CO"/>
        </w:rPr>
      </w:pPr>
    </w:p>
    <w:p w14:paraId="345A0605" w14:textId="723C339B" w:rsidR="00766ACB" w:rsidRPr="00C00AD4" w:rsidRDefault="000D65B8" w:rsidP="00961D49">
      <w:pPr>
        <w:tabs>
          <w:tab w:val="left" w:pos="8789"/>
        </w:tabs>
        <w:autoSpaceDE w:val="0"/>
        <w:autoSpaceDN w:val="0"/>
        <w:adjustRightInd w:val="0"/>
        <w:ind w:left="284" w:right="283"/>
        <w:jc w:val="both"/>
        <w:rPr>
          <w:rFonts w:ascii="Arial" w:hAnsi="Arial" w:cs="Arial"/>
          <w:i/>
          <w:iCs/>
          <w:sz w:val="22"/>
          <w:szCs w:val="22"/>
        </w:rPr>
      </w:pPr>
      <w:r>
        <w:rPr>
          <w:rFonts w:ascii="Arial" w:hAnsi="Arial" w:cs="Arial"/>
          <w:i/>
          <w:iCs/>
          <w:sz w:val="22"/>
          <w:szCs w:val="22"/>
        </w:rPr>
        <w:t xml:space="preserve">… </w:t>
      </w:r>
      <w:r w:rsidR="00766ACB" w:rsidRPr="00C00AD4">
        <w:rPr>
          <w:rFonts w:ascii="Arial" w:hAnsi="Arial" w:cs="Arial"/>
          <w:i/>
          <w:iCs/>
          <w:sz w:val="22"/>
          <w:szCs w:val="22"/>
        </w:rPr>
        <w:t>si bien la Administración goza de autonomía en la elaboración de los pliegos de condiciones o términos de referencia de acuerdo con sus particulares necesidades, no es menos cierto que ella está enmarcada en los fines de la contratación estatal y, por consiguiente</w:t>
      </w:r>
      <w:r w:rsidR="00766ACB" w:rsidRPr="00C00AD4">
        <w:rPr>
          <w:rFonts w:ascii="Arial" w:hAnsi="Arial" w:cs="Arial"/>
          <w:i/>
          <w:iCs/>
          <w:sz w:val="22"/>
          <w:szCs w:val="22"/>
          <w:u w:val="single"/>
        </w:rPr>
        <w:t>, los criterios de selección susceptibles de calificación, deben ser congruentes con ellos</w:t>
      </w:r>
      <w:r w:rsidR="00766ACB" w:rsidRPr="00C00AD4">
        <w:rPr>
          <w:rFonts w:ascii="Arial" w:hAnsi="Arial" w:cs="Arial"/>
          <w:i/>
          <w:iCs/>
          <w:sz w:val="22"/>
          <w:szCs w:val="22"/>
        </w:rPr>
        <w:t xml:space="preserve"> y comprender . . . la dinámica que envuelve la concepción que de la discrecionalidad administrativa ha venido prohijando, partiendo de diferenciar entre las denominadas definiciones “materiales” o “positivas” de dicha figura y las catalogadas como “formales” o “negativas” de la misma, en cuanto las primeras consideran que la discrecionalidad opera en circunstancias en las cuales el interés general, para el caso concreto, no se encuentra exhaustivamente precisado por la ley </w:t>
      </w:r>
      <w:r w:rsidR="00766ACB" w:rsidRPr="00C00AD4">
        <w:rPr>
          <w:rFonts w:ascii="Arial" w:hAnsi="Arial" w:cs="Arial"/>
          <w:i/>
          <w:iCs/>
          <w:sz w:val="22"/>
          <w:szCs w:val="22"/>
        </w:rPr>
        <w:lastRenderedPageBreak/>
        <w:t>lo cual evidentemente ocurre tratándose de las referidas normas que regulan el contenido mínimo de los pliegos de condiciones, de suerte que la discrecionalidad surge como autorización que se confiere expresa o implícitamente a la Administración para que, previa ponderación de todos los hechos, intereses, derechos o principios jurídicos comprometidos en el caso concreto, encuentre una solución para el mismo intentando «elegir la medida más adecuada para la satisfacción del interés público: éste se encuentra legalmente definido y fijado, pero no casuísticamente predeterminado, tarea para la que se confiere libertad al órgano actuante otorgándole un poder discrecional</w:t>
      </w:r>
    </w:p>
    <w:p w14:paraId="7CA5C0AF" w14:textId="77777777" w:rsidR="00766ACB" w:rsidRPr="00C00AD4" w:rsidRDefault="00766ACB" w:rsidP="00961D49">
      <w:pPr>
        <w:tabs>
          <w:tab w:val="left" w:pos="8789"/>
        </w:tabs>
        <w:autoSpaceDE w:val="0"/>
        <w:autoSpaceDN w:val="0"/>
        <w:adjustRightInd w:val="0"/>
        <w:ind w:left="284" w:right="283"/>
        <w:jc w:val="both"/>
        <w:rPr>
          <w:rFonts w:ascii="Arial" w:hAnsi="Arial" w:cs="Arial"/>
          <w:i/>
          <w:iCs/>
          <w:sz w:val="22"/>
          <w:szCs w:val="22"/>
        </w:rPr>
      </w:pPr>
    </w:p>
    <w:p w14:paraId="7DDDF5BA" w14:textId="7EE6A065" w:rsidR="00766ACB" w:rsidRPr="00C00AD4" w:rsidRDefault="00766ACB" w:rsidP="00961D49">
      <w:pPr>
        <w:tabs>
          <w:tab w:val="left" w:pos="8789"/>
        </w:tabs>
        <w:autoSpaceDE w:val="0"/>
        <w:autoSpaceDN w:val="0"/>
        <w:adjustRightInd w:val="0"/>
        <w:ind w:left="284" w:right="283"/>
        <w:jc w:val="both"/>
        <w:rPr>
          <w:rFonts w:ascii="Arial" w:hAnsi="Arial" w:cs="Arial"/>
          <w:i/>
          <w:iCs/>
          <w:sz w:val="22"/>
          <w:szCs w:val="22"/>
        </w:rPr>
      </w:pPr>
      <w:r w:rsidRPr="00C00AD4">
        <w:rPr>
          <w:rFonts w:ascii="Arial" w:hAnsi="Arial" w:cs="Arial"/>
          <w:i/>
          <w:iCs/>
          <w:sz w:val="22"/>
          <w:szCs w:val="22"/>
        </w:rPr>
        <w:t>Lo dicho conduce a concluir que ante los amplios márgenes de los cuales dispone la Administración para confeccionar pliegos de condiciones pues el ordenamiento, en esta materia, las más de las veces apenas fija pautas generales y sólo de forma excepcional contiene normas de acción concretas y específicas, limitarse a la exclusión de aquellas previsiones que, en el pliego de condiciones o sus equivalentes, resulten manifiestamente desproporcionadas o manifiestamente irrazonables o manifiestamente arbitrarias</w:t>
      </w:r>
      <w:r w:rsidR="002430FD" w:rsidRPr="00C00AD4">
        <w:rPr>
          <w:rFonts w:ascii="Arial" w:hAnsi="Arial" w:cs="Arial"/>
          <w:i/>
          <w:iCs/>
          <w:sz w:val="22"/>
          <w:szCs w:val="22"/>
        </w:rPr>
        <w:t>.”</w:t>
      </w:r>
    </w:p>
    <w:p w14:paraId="77E760DB" w14:textId="77777777" w:rsidR="00766ACB" w:rsidRPr="00C00AD4" w:rsidRDefault="00766ACB" w:rsidP="00C00AD4">
      <w:pPr>
        <w:ind w:left="284" w:right="283"/>
        <w:jc w:val="both"/>
        <w:rPr>
          <w:rFonts w:ascii="Arial" w:eastAsiaTheme="minorHAnsi" w:hAnsi="Arial" w:cs="Arial"/>
          <w:b/>
          <w:bCs/>
        </w:rPr>
      </w:pPr>
    </w:p>
    <w:p w14:paraId="058FAB82" w14:textId="3E3B11E1" w:rsidR="007C614D" w:rsidRPr="00C00AD4" w:rsidRDefault="000D65B8" w:rsidP="00C00AD4">
      <w:pPr>
        <w:jc w:val="both"/>
        <w:rPr>
          <w:rFonts w:ascii="Arial" w:eastAsiaTheme="minorHAnsi" w:hAnsi="Arial" w:cs="Arial"/>
        </w:rPr>
      </w:pPr>
      <w:r>
        <w:rPr>
          <w:rFonts w:ascii="Arial" w:eastAsiaTheme="minorHAnsi" w:hAnsi="Arial" w:cs="Arial"/>
        </w:rPr>
        <w:t>R</w:t>
      </w:r>
      <w:r w:rsidR="00CB792E" w:rsidRPr="00C00AD4">
        <w:rPr>
          <w:rFonts w:ascii="Arial" w:eastAsiaTheme="minorHAnsi" w:hAnsi="Arial" w:cs="Arial"/>
        </w:rPr>
        <w:t>especto de la autonomía contractual la Corte Constitucional</w:t>
      </w:r>
      <w:r w:rsidR="00046FF0" w:rsidRPr="00C00AD4">
        <w:rPr>
          <w:rStyle w:val="Refdenotaalpie"/>
          <w:rFonts w:ascii="Arial" w:eastAsiaTheme="minorHAnsi" w:hAnsi="Arial" w:cs="Arial"/>
        </w:rPr>
        <w:footnoteReference w:id="6"/>
      </w:r>
      <w:r w:rsidR="008A6A5E" w:rsidRPr="00C00AD4">
        <w:rPr>
          <w:rFonts w:ascii="Arial" w:eastAsiaTheme="minorHAnsi" w:hAnsi="Arial" w:cs="Arial"/>
        </w:rPr>
        <w:t xml:space="preserve"> </w:t>
      </w:r>
      <w:r>
        <w:rPr>
          <w:rFonts w:ascii="Arial" w:eastAsiaTheme="minorHAnsi" w:hAnsi="Arial" w:cs="Arial"/>
        </w:rPr>
        <w:t>expresó</w:t>
      </w:r>
      <w:r w:rsidR="008A6A5E" w:rsidRPr="00C00AD4">
        <w:rPr>
          <w:rFonts w:ascii="Arial" w:eastAsiaTheme="minorHAnsi" w:hAnsi="Arial" w:cs="Arial"/>
        </w:rPr>
        <w:t>:</w:t>
      </w:r>
    </w:p>
    <w:p w14:paraId="41EF3618" w14:textId="77777777" w:rsidR="007C614D" w:rsidRPr="00C00AD4" w:rsidRDefault="007C614D" w:rsidP="00C00AD4">
      <w:pPr>
        <w:ind w:left="284" w:right="284"/>
        <w:jc w:val="both"/>
        <w:rPr>
          <w:rFonts w:ascii="Arial" w:eastAsiaTheme="minorHAnsi" w:hAnsi="Arial" w:cs="Arial"/>
          <w:sz w:val="22"/>
          <w:szCs w:val="22"/>
        </w:rPr>
      </w:pPr>
    </w:p>
    <w:p w14:paraId="6D437BED" w14:textId="14BF4628" w:rsidR="00F6429E" w:rsidRPr="00724344" w:rsidRDefault="007E1B30" w:rsidP="00961D49">
      <w:pPr>
        <w:pStyle w:val="Prrafodelista"/>
        <w:ind w:left="284" w:right="284"/>
        <w:jc w:val="both"/>
        <w:rPr>
          <w:rFonts w:ascii="Arial" w:hAnsi="Arial" w:cs="Arial"/>
          <w:bCs/>
          <w:i/>
          <w:iCs/>
          <w:sz w:val="22"/>
          <w:szCs w:val="22"/>
          <w:lang w:eastAsia="es-ES"/>
        </w:rPr>
      </w:pPr>
      <w:r w:rsidRPr="00724344">
        <w:rPr>
          <w:rFonts w:ascii="Arial" w:hAnsi="Arial" w:cs="Arial"/>
          <w:bCs/>
          <w:i/>
          <w:iCs/>
          <w:sz w:val="22"/>
          <w:szCs w:val="22"/>
          <w:lang w:eastAsia="es-ES"/>
        </w:rPr>
        <w:t>“[…]</w:t>
      </w:r>
      <w:r w:rsidR="00F6429E" w:rsidRPr="00724344">
        <w:rPr>
          <w:rFonts w:ascii="Arial" w:hAnsi="Arial" w:cs="Arial"/>
          <w:bCs/>
          <w:i/>
          <w:iCs/>
          <w:sz w:val="22"/>
          <w:szCs w:val="22"/>
          <w:lang w:eastAsia="es-ES"/>
        </w:rPr>
        <w:t>(</w:t>
      </w:r>
      <w:r w:rsidR="00F6429E" w:rsidRPr="00724344">
        <w:rPr>
          <w:rFonts w:ascii="Arial" w:hAnsi="Arial" w:cs="Arial"/>
          <w:b/>
          <w:bCs/>
          <w:i/>
          <w:iCs/>
          <w:sz w:val="22"/>
          <w:szCs w:val="22"/>
          <w:lang w:eastAsia="es-ES"/>
        </w:rPr>
        <w:t>v</w:t>
      </w:r>
      <w:r w:rsidR="00F6429E" w:rsidRPr="00724344">
        <w:rPr>
          <w:rFonts w:ascii="Arial" w:hAnsi="Arial" w:cs="Arial"/>
          <w:bCs/>
          <w:i/>
          <w:iCs/>
          <w:sz w:val="22"/>
          <w:szCs w:val="22"/>
          <w:lang w:eastAsia="es-ES"/>
        </w:rPr>
        <w:t>) La autonomía contractual también implica la estructuración del proceso para seleccionar al contratista, dentro del margen de configuración permitido por la Ley y por sus decretos reglamentarios y las condiciones de tiempo, modo y lugar. Para ello, entre otras cosas, precisa las características concretas y específicas del objeto contractual (alcance, tipo de contrato, cantidad, precio, plazo de entrega, forma de pago, etc.), acorde con la necesidad a la que pretende responder y establece el presupuesto y los tiempos en los que se desarrollará el procedimiento, de acuerdo con la Ley. (</w:t>
      </w:r>
      <w:r w:rsidR="00F6429E" w:rsidRPr="00724344">
        <w:rPr>
          <w:rFonts w:ascii="Arial" w:hAnsi="Arial" w:cs="Arial"/>
          <w:b/>
          <w:bCs/>
          <w:i/>
          <w:iCs/>
          <w:sz w:val="22"/>
          <w:szCs w:val="22"/>
          <w:lang w:eastAsia="es-ES"/>
        </w:rPr>
        <w:t>vi</w:t>
      </w:r>
      <w:r w:rsidR="00F6429E" w:rsidRPr="00724344">
        <w:rPr>
          <w:rFonts w:ascii="Arial" w:hAnsi="Arial" w:cs="Arial"/>
          <w:bCs/>
          <w:i/>
          <w:iCs/>
          <w:sz w:val="22"/>
          <w:szCs w:val="22"/>
          <w:lang w:eastAsia="es-ES"/>
        </w:rPr>
        <w:t>) La dirección del procedimiento de selección del contratista compete, igualmente, a la entidad territorial, hasta la celebración del contrato. (</w:t>
      </w:r>
      <w:r w:rsidR="00F6429E" w:rsidRPr="00724344">
        <w:rPr>
          <w:rFonts w:ascii="Arial" w:hAnsi="Arial" w:cs="Arial"/>
          <w:b/>
          <w:bCs/>
          <w:i/>
          <w:iCs/>
          <w:sz w:val="22"/>
          <w:szCs w:val="22"/>
          <w:lang w:eastAsia="es-ES"/>
        </w:rPr>
        <w:t>vii</w:t>
      </w:r>
      <w:r w:rsidR="00F6429E" w:rsidRPr="00724344">
        <w:rPr>
          <w:rFonts w:ascii="Arial" w:hAnsi="Arial" w:cs="Arial"/>
          <w:bCs/>
          <w:i/>
          <w:iCs/>
          <w:sz w:val="22"/>
          <w:szCs w:val="22"/>
          <w:lang w:eastAsia="es-ES"/>
        </w:rPr>
        <w:t>) Una vez perfeccionado el contrato, se activan competencias de dirección y vigilancia de la ejecución del contrato que va desde la identificación de las condiciones para comenzar la ejecución del contrato y terminan con su liquidación, pasando por el ejercicio de potestades excepcionales durante la ejecución.</w:t>
      </w:r>
      <w:r w:rsidRPr="00724344">
        <w:rPr>
          <w:rFonts w:ascii="Arial" w:hAnsi="Arial" w:cs="Arial"/>
          <w:bCs/>
          <w:i/>
          <w:iCs/>
          <w:sz w:val="22"/>
          <w:szCs w:val="22"/>
          <w:lang w:eastAsia="es-ES"/>
        </w:rPr>
        <w:t>”</w:t>
      </w:r>
    </w:p>
    <w:p w14:paraId="54E75914" w14:textId="77777777" w:rsidR="007E1B30" w:rsidRPr="00C00AD4" w:rsidRDefault="007E1B30" w:rsidP="00C00AD4">
      <w:pPr>
        <w:pStyle w:val="Prrafodelista"/>
        <w:ind w:left="284" w:right="284"/>
        <w:jc w:val="both"/>
        <w:rPr>
          <w:rFonts w:ascii="Arial" w:hAnsi="Arial" w:cs="Arial"/>
          <w:bCs/>
          <w:sz w:val="22"/>
          <w:szCs w:val="22"/>
          <w:lang w:eastAsia="es-ES"/>
        </w:rPr>
      </w:pPr>
    </w:p>
    <w:p w14:paraId="0655A1D1" w14:textId="462109F7" w:rsidR="00873945" w:rsidRPr="00C00AD4" w:rsidRDefault="008467EE" w:rsidP="00C00AD4">
      <w:pPr>
        <w:jc w:val="both"/>
        <w:rPr>
          <w:rFonts w:ascii="Arial" w:eastAsiaTheme="minorHAnsi" w:hAnsi="Arial" w:cs="Arial"/>
        </w:rPr>
      </w:pPr>
      <w:r w:rsidRPr="00C00AD4">
        <w:rPr>
          <w:rFonts w:ascii="Arial" w:eastAsiaTheme="minorHAnsi" w:hAnsi="Arial" w:cs="Arial"/>
        </w:rPr>
        <w:t xml:space="preserve">A partir de lo </w:t>
      </w:r>
      <w:r w:rsidR="00B41E5D" w:rsidRPr="00C00AD4">
        <w:rPr>
          <w:rFonts w:ascii="Arial" w:eastAsiaTheme="minorHAnsi" w:hAnsi="Arial" w:cs="Arial"/>
        </w:rPr>
        <w:t>expresado</w:t>
      </w:r>
      <w:r w:rsidRPr="00C00AD4">
        <w:rPr>
          <w:rFonts w:ascii="Arial" w:eastAsiaTheme="minorHAnsi" w:hAnsi="Arial" w:cs="Arial"/>
        </w:rPr>
        <w:t xml:space="preserve">, </w:t>
      </w:r>
      <w:r w:rsidR="00644057" w:rsidRPr="00C00AD4">
        <w:rPr>
          <w:rFonts w:ascii="Arial" w:eastAsiaTheme="minorHAnsi" w:hAnsi="Arial" w:cs="Arial"/>
        </w:rPr>
        <w:t xml:space="preserve">el </w:t>
      </w:r>
      <w:r w:rsidR="00A5708D" w:rsidRPr="00C00AD4">
        <w:rPr>
          <w:rFonts w:ascii="Arial" w:eastAsiaTheme="minorHAnsi" w:hAnsi="Arial" w:cs="Arial"/>
        </w:rPr>
        <w:t>Instituto D</w:t>
      </w:r>
      <w:r w:rsidR="00153D31" w:rsidRPr="00C00AD4">
        <w:rPr>
          <w:rFonts w:ascii="Arial" w:eastAsiaTheme="minorHAnsi" w:hAnsi="Arial" w:cs="Arial"/>
        </w:rPr>
        <w:t>istrital de Protección y Bienestar Animal</w:t>
      </w:r>
      <w:r w:rsidR="00153D31" w:rsidRPr="00C00AD4">
        <w:rPr>
          <w:rStyle w:val="Refdenotaalpie"/>
          <w:rFonts w:ascii="Arial" w:eastAsiaTheme="minorHAnsi" w:hAnsi="Arial" w:cs="Arial"/>
        </w:rPr>
        <w:footnoteReference w:id="7"/>
      </w:r>
      <w:r w:rsidR="00BC370C" w:rsidRPr="00C00AD4">
        <w:rPr>
          <w:rFonts w:ascii="Arial" w:eastAsiaTheme="minorHAnsi" w:hAnsi="Arial" w:cs="Arial"/>
        </w:rPr>
        <w:t xml:space="preserve"> puede desarrollar su capacidad de configuración contractual</w:t>
      </w:r>
      <w:r w:rsidR="00873945" w:rsidRPr="00C00AD4">
        <w:rPr>
          <w:rFonts w:ascii="Arial" w:eastAsiaTheme="minorHAnsi" w:hAnsi="Arial" w:cs="Arial"/>
        </w:rPr>
        <w:t xml:space="preserve"> </w:t>
      </w:r>
      <w:r w:rsidR="00C65F74" w:rsidRPr="00C00AD4">
        <w:rPr>
          <w:rFonts w:ascii="Arial" w:eastAsiaTheme="minorHAnsi" w:hAnsi="Arial" w:cs="Arial"/>
        </w:rPr>
        <w:t>para atender su o</w:t>
      </w:r>
      <w:r w:rsidR="009A1B2A" w:rsidRPr="00C00AD4">
        <w:rPr>
          <w:rFonts w:ascii="Arial" w:eastAsiaTheme="minorHAnsi" w:hAnsi="Arial" w:cs="Arial"/>
        </w:rPr>
        <w:t>bjeto</w:t>
      </w:r>
      <w:r w:rsidR="00852133" w:rsidRPr="00C00AD4">
        <w:rPr>
          <w:rFonts w:ascii="Arial" w:eastAsiaTheme="minorHAnsi" w:hAnsi="Arial" w:cs="Arial"/>
        </w:rPr>
        <w:t xml:space="preserve"> dirigido a la </w:t>
      </w:r>
      <w:r w:rsidR="00873945" w:rsidRPr="00C00AD4">
        <w:rPr>
          <w:rFonts w:ascii="Arial" w:eastAsiaTheme="minorHAnsi" w:hAnsi="Arial" w:cs="Arial"/>
        </w:rPr>
        <w:t xml:space="preserve">elaboración, ejecución, implementación, coordinación, vigilancia, evaluación y seguimiento de planes y proyectos encaminados a la </w:t>
      </w:r>
      <w:r w:rsidR="00AD6ADC" w:rsidRPr="00C00AD4">
        <w:rPr>
          <w:rFonts w:ascii="Arial" w:eastAsiaTheme="minorHAnsi" w:hAnsi="Arial" w:cs="Arial"/>
        </w:rPr>
        <w:t>protección y</w:t>
      </w:r>
      <w:r w:rsidR="00873945" w:rsidRPr="00C00AD4">
        <w:rPr>
          <w:rFonts w:ascii="Arial" w:eastAsiaTheme="minorHAnsi" w:hAnsi="Arial" w:cs="Arial"/>
        </w:rPr>
        <w:t xml:space="preserve"> el bienestar de la </w:t>
      </w:r>
      <w:r w:rsidR="00873945" w:rsidRPr="00C00AD4">
        <w:rPr>
          <w:rFonts w:ascii="Arial" w:eastAsiaTheme="minorHAnsi" w:hAnsi="Arial" w:cs="Arial"/>
        </w:rPr>
        <w:lastRenderedPageBreak/>
        <w:t>fauna silvestre y doméstica que habita en el Distrito</w:t>
      </w:r>
      <w:r w:rsidR="00852133" w:rsidRPr="00C00AD4">
        <w:rPr>
          <w:rFonts w:ascii="Arial" w:eastAsiaTheme="minorHAnsi" w:hAnsi="Arial" w:cs="Arial"/>
        </w:rPr>
        <w:t>, como lo dispone el artículo 4°</w:t>
      </w:r>
      <w:r w:rsidR="003726C5" w:rsidRPr="00C00AD4">
        <w:rPr>
          <w:rFonts w:ascii="Arial" w:eastAsiaTheme="minorHAnsi" w:hAnsi="Arial" w:cs="Arial"/>
        </w:rPr>
        <w:t>del Decreto 546 de 2016</w:t>
      </w:r>
      <w:r w:rsidR="00CA3CBE" w:rsidRPr="00C00AD4">
        <w:rPr>
          <w:rFonts w:ascii="Arial" w:eastAsiaTheme="minorHAnsi" w:hAnsi="Arial" w:cs="Arial"/>
        </w:rPr>
        <w:t>.</w:t>
      </w:r>
      <w:r w:rsidR="003726C5" w:rsidRPr="00C00AD4">
        <w:rPr>
          <w:rStyle w:val="Refdenotaalpie"/>
          <w:rFonts w:ascii="Arial" w:eastAsiaTheme="minorHAnsi" w:hAnsi="Arial" w:cs="Arial"/>
        </w:rPr>
        <w:footnoteReference w:id="8"/>
      </w:r>
    </w:p>
    <w:p w14:paraId="595BED0F" w14:textId="77777777" w:rsidR="00CA2363" w:rsidRPr="00C00AD4" w:rsidRDefault="00CA2363" w:rsidP="00C00AD4">
      <w:pPr>
        <w:jc w:val="both"/>
        <w:rPr>
          <w:rFonts w:ascii="Arial" w:eastAsiaTheme="minorHAnsi" w:hAnsi="Arial" w:cs="Arial"/>
        </w:rPr>
      </w:pPr>
    </w:p>
    <w:p w14:paraId="4EA36B67" w14:textId="75004FAB" w:rsidR="008F4ED9" w:rsidRPr="00C00AD4" w:rsidRDefault="00724344" w:rsidP="00724344">
      <w:pPr>
        <w:ind w:left="567" w:hanging="567"/>
        <w:jc w:val="both"/>
        <w:rPr>
          <w:rFonts w:ascii="Arial" w:eastAsiaTheme="minorHAnsi" w:hAnsi="Arial" w:cs="Arial"/>
          <w:b/>
          <w:bCs/>
        </w:rPr>
      </w:pPr>
      <w:r>
        <w:rPr>
          <w:rFonts w:ascii="Arial" w:eastAsiaTheme="minorHAnsi" w:hAnsi="Arial" w:cs="Arial"/>
          <w:b/>
          <w:bCs/>
        </w:rPr>
        <w:t xml:space="preserve">2. </w:t>
      </w:r>
      <w:r w:rsidR="008F4ED9" w:rsidRPr="00C00AD4">
        <w:rPr>
          <w:rFonts w:ascii="Arial" w:eastAsiaTheme="minorHAnsi" w:hAnsi="Arial" w:cs="Arial"/>
          <w:b/>
          <w:bCs/>
        </w:rPr>
        <w:t>Caso concreto</w:t>
      </w:r>
    </w:p>
    <w:p w14:paraId="3C62B4EA" w14:textId="77777777" w:rsidR="008F4ED9" w:rsidRPr="00C00AD4" w:rsidRDefault="008F4ED9" w:rsidP="00C00AD4">
      <w:pPr>
        <w:jc w:val="both"/>
        <w:rPr>
          <w:rFonts w:ascii="Arial" w:eastAsiaTheme="minorHAnsi" w:hAnsi="Arial" w:cs="Arial"/>
        </w:rPr>
      </w:pPr>
    </w:p>
    <w:p w14:paraId="4309A4CE" w14:textId="6431FDA9" w:rsidR="00522BA3" w:rsidRPr="00C00AD4" w:rsidRDefault="00EB3831" w:rsidP="00C00AD4">
      <w:pPr>
        <w:jc w:val="both"/>
        <w:rPr>
          <w:rFonts w:ascii="Arial" w:hAnsi="Arial" w:cs="Arial"/>
        </w:rPr>
      </w:pPr>
      <w:r w:rsidRPr="00C00AD4">
        <w:rPr>
          <w:rFonts w:ascii="Arial" w:eastAsiaTheme="minorHAnsi" w:hAnsi="Arial" w:cs="Arial"/>
        </w:rPr>
        <w:t>S</w:t>
      </w:r>
      <w:r w:rsidR="008F4ED9" w:rsidRPr="00C00AD4">
        <w:rPr>
          <w:rFonts w:ascii="Arial" w:eastAsiaTheme="minorHAnsi" w:hAnsi="Arial" w:cs="Arial"/>
        </w:rPr>
        <w:t>e exp</w:t>
      </w:r>
      <w:r w:rsidRPr="00C00AD4">
        <w:rPr>
          <w:rFonts w:ascii="Arial" w:eastAsiaTheme="minorHAnsi" w:hAnsi="Arial" w:cs="Arial"/>
        </w:rPr>
        <w:t xml:space="preserve">uso </w:t>
      </w:r>
      <w:r w:rsidR="008F4ED9" w:rsidRPr="00C00AD4">
        <w:rPr>
          <w:rFonts w:ascii="Arial" w:eastAsiaTheme="minorHAnsi" w:hAnsi="Arial" w:cs="Arial"/>
        </w:rPr>
        <w:t xml:space="preserve">en el texto de la consulta </w:t>
      </w:r>
      <w:r w:rsidRPr="00C00AD4">
        <w:rPr>
          <w:rFonts w:ascii="Arial" w:eastAsiaTheme="minorHAnsi" w:hAnsi="Arial" w:cs="Arial"/>
        </w:rPr>
        <w:t xml:space="preserve">que </w:t>
      </w:r>
      <w:r w:rsidR="008F4ED9" w:rsidRPr="00C00AD4">
        <w:rPr>
          <w:rFonts w:ascii="Arial" w:eastAsiaTheme="minorHAnsi" w:hAnsi="Arial" w:cs="Arial"/>
        </w:rPr>
        <w:t>el I</w:t>
      </w:r>
      <w:r w:rsidR="00CB070B" w:rsidRPr="00C00AD4">
        <w:rPr>
          <w:rFonts w:ascii="Arial" w:eastAsiaTheme="minorHAnsi" w:hAnsi="Arial" w:cs="Arial"/>
        </w:rPr>
        <w:t>nstituto de Protección</w:t>
      </w:r>
      <w:r w:rsidR="000D65B8">
        <w:rPr>
          <w:rFonts w:ascii="Arial" w:eastAsiaTheme="minorHAnsi" w:hAnsi="Arial" w:cs="Arial"/>
        </w:rPr>
        <w:t xml:space="preserve"> y Bienestar</w:t>
      </w:r>
      <w:r w:rsidR="00CB070B" w:rsidRPr="00C00AD4">
        <w:rPr>
          <w:rFonts w:ascii="Arial" w:eastAsiaTheme="minorHAnsi" w:hAnsi="Arial" w:cs="Arial"/>
        </w:rPr>
        <w:t xml:space="preserve"> Animal </w:t>
      </w:r>
      <w:r w:rsidR="003A6732" w:rsidRPr="00C00AD4">
        <w:rPr>
          <w:rFonts w:ascii="Arial" w:eastAsiaTheme="minorHAnsi" w:hAnsi="Arial" w:cs="Arial"/>
        </w:rPr>
        <w:t>adquir</w:t>
      </w:r>
      <w:r w:rsidR="00703901" w:rsidRPr="00C00AD4">
        <w:rPr>
          <w:rFonts w:ascii="Arial" w:eastAsiaTheme="minorHAnsi" w:hAnsi="Arial" w:cs="Arial"/>
        </w:rPr>
        <w:t xml:space="preserve">ió a través del proceso de contratación de selección abreviada por subasta inversa una serie de elementos para dotar </w:t>
      </w:r>
      <w:r w:rsidR="00D219F3" w:rsidRPr="00C00AD4">
        <w:rPr>
          <w:rFonts w:ascii="Arial" w:eastAsiaTheme="minorHAnsi" w:hAnsi="Arial" w:cs="Arial"/>
        </w:rPr>
        <w:t xml:space="preserve">el </w:t>
      </w:r>
      <w:r w:rsidR="00D219F3" w:rsidRPr="00C00AD4">
        <w:rPr>
          <w:rFonts w:ascii="Arial" w:hAnsi="Arial" w:cs="Arial"/>
        </w:rPr>
        <w:t>“Centro Ecológico Distrital de protección y Bienestar Animal – CEA – “Casa Ecológica de los Animales”</w:t>
      </w:r>
      <w:r w:rsidR="008459A3" w:rsidRPr="00C00AD4">
        <w:rPr>
          <w:rFonts w:ascii="Arial" w:hAnsi="Arial" w:cs="Arial"/>
        </w:rPr>
        <w:t>, una vez esta fuera entregada</w:t>
      </w:r>
      <w:r w:rsidR="00CB070B" w:rsidRPr="00C00AD4">
        <w:rPr>
          <w:rFonts w:ascii="Arial" w:hAnsi="Arial" w:cs="Arial"/>
        </w:rPr>
        <w:t xml:space="preserve"> por la Secretaría Distrital de Ambiente</w:t>
      </w:r>
      <w:r w:rsidR="008459A3" w:rsidRPr="00C00AD4">
        <w:rPr>
          <w:rFonts w:ascii="Arial" w:hAnsi="Arial" w:cs="Arial"/>
        </w:rPr>
        <w:t>.</w:t>
      </w:r>
      <w:r w:rsidR="000F5812" w:rsidRPr="00C00AD4">
        <w:rPr>
          <w:rFonts w:ascii="Arial" w:hAnsi="Arial" w:cs="Arial"/>
        </w:rPr>
        <w:t xml:space="preserve">  </w:t>
      </w:r>
      <w:r w:rsidR="00934B88" w:rsidRPr="00C00AD4">
        <w:rPr>
          <w:rFonts w:ascii="Arial" w:hAnsi="Arial" w:cs="Arial"/>
        </w:rPr>
        <w:t>Debido a la incertidumbre frente a la fecha de entrega de</w:t>
      </w:r>
      <w:r w:rsidR="000D65B8">
        <w:rPr>
          <w:rFonts w:ascii="Arial" w:hAnsi="Arial" w:cs="Arial"/>
        </w:rPr>
        <w:t>l inmueble</w:t>
      </w:r>
      <w:r w:rsidR="00934B88" w:rsidRPr="00C00AD4">
        <w:rPr>
          <w:rFonts w:ascii="Arial" w:hAnsi="Arial" w:cs="Arial"/>
        </w:rPr>
        <w:t xml:space="preserve">, </w:t>
      </w:r>
      <w:r w:rsidR="00681EBA" w:rsidRPr="00C00AD4">
        <w:rPr>
          <w:rFonts w:ascii="Arial" w:hAnsi="Arial" w:cs="Arial"/>
        </w:rPr>
        <w:t xml:space="preserve">se pregunta si estos elementos que fueron adquiridos pueden ser utilizados por parte del </w:t>
      </w:r>
      <w:r w:rsidR="000D65B8">
        <w:rPr>
          <w:rFonts w:ascii="Arial" w:hAnsi="Arial" w:cs="Arial"/>
        </w:rPr>
        <w:t>I</w:t>
      </w:r>
      <w:r w:rsidR="00681EBA" w:rsidRPr="00C00AD4">
        <w:rPr>
          <w:rFonts w:ascii="Arial" w:hAnsi="Arial" w:cs="Arial"/>
        </w:rPr>
        <w:t>nstituto</w:t>
      </w:r>
      <w:r w:rsidR="00C34B9E">
        <w:rPr>
          <w:rFonts w:ascii="Arial" w:hAnsi="Arial" w:cs="Arial"/>
        </w:rPr>
        <w:t xml:space="preserve"> para cumplir otras funciones a su cargo</w:t>
      </w:r>
      <w:r w:rsidR="00681EBA" w:rsidRPr="00C00AD4">
        <w:rPr>
          <w:rFonts w:ascii="Arial" w:hAnsi="Arial" w:cs="Arial"/>
        </w:rPr>
        <w:t xml:space="preserve">.  </w:t>
      </w:r>
    </w:p>
    <w:p w14:paraId="140F99BF" w14:textId="77777777" w:rsidR="00522BA3" w:rsidRPr="00C00AD4" w:rsidRDefault="00522BA3" w:rsidP="00C00AD4">
      <w:pPr>
        <w:jc w:val="both"/>
        <w:rPr>
          <w:rFonts w:ascii="Arial" w:hAnsi="Arial" w:cs="Arial"/>
        </w:rPr>
      </w:pPr>
    </w:p>
    <w:p w14:paraId="3A89A567" w14:textId="7AFDD2B2" w:rsidR="00704AFD" w:rsidRDefault="00500E9A" w:rsidP="00C00AD4">
      <w:pPr>
        <w:jc w:val="both"/>
        <w:rPr>
          <w:rFonts w:ascii="Arial" w:hAnsi="Arial" w:cs="Arial"/>
        </w:rPr>
      </w:pPr>
      <w:r w:rsidRPr="00C00AD4">
        <w:rPr>
          <w:rFonts w:ascii="Arial" w:hAnsi="Arial" w:cs="Arial"/>
        </w:rPr>
        <w:t>Es importante destacar que el</w:t>
      </w:r>
      <w:r w:rsidR="00C7792E" w:rsidRPr="00C00AD4">
        <w:rPr>
          <w:rFonts w:ascii="Arial" w:hAnsi="Arial" w:cs="Arial"/>
        </w:rPr>
        <w:t xml:space="preserve"> </w:t>
      </w:r>
      <w:r w:rsidR="00B16109" w:rsidRPr="00C00AD4">
        <w:rPr>
          <w:rFonts w:ascii="Arial" w:hAnsi="Arial" w:cs="Arial"/>
        </w:rPr>
        <w:t>Instituto</w:t>
      </w:r>
      <w:r w:rsidRPr="00C00AD4">
        <w:rPr>
          <w:rFonts w:ascii="Arial" w:hAnsi="Arial" w:cs="Arial"/>
        </w:rPr>
        <w:t xml:space="preserve">, además de </w:t>
      </w:r>
      <w:r w:rsidR="00B16109" w:rsidRPr="00C00AD4">
        <w:rPr>
          <w:rFonts w:ascii="Arial" w:hAnsi="Arial" w:cs="Arial"/>
        </w:rPr>
        <w:t>goza</w:t>
      </w:r>
      <w:r w:rsidRPr="00C00AD4">
        <w:rPr>
          <w:rFonts w:ascii="Arial" w:hAnsi="Arial" w:cs="Arial"/>
        </w:rPr>
        <w:t>r</w:t>
      </w:r>
      <w:r w:rsidR="00B16109" w:rsidRPr="00C00AD4">
        <w:rPr>
          <w:rFonts w:ascii="Arial" w:hAnsi="Arial" w:cs="Arial"/>
        </w:rPr>
        <w:t xml:space="preserve"> de autonomía contractual</w:t>
      </w:r>
      <w:r w:rsidR="00EB5CB1" w:rsidRPr="00C00AD4">
        <w:rPr>
          <w:rFonts w:ascii="Arial" w:hAnsi="Arial" w:cs="Arial"/>
        </w:rPr>
        <w:t>,</w:t>
      </w:r>
      <w:r w:rsidR="002D4DAD" w:rsidRPr="00C00AD4">
        <w:rPr>
          <w:rFonts w:ascii="Arial" w:hAnsi="Arial" w:cs="Arial"/>
        </w:rPr>
        <w:t xml:space="preserve"> </w:t>
      </w:r>
      <w:r w:rsidR="002962B7" w:rsidRPr="00C00AD4">
        <w:rPr>
          <w:rFonts w:ascii="Arial" w:hAnsi="Arial" w:cs="Arial"/>
        </w:rPr>
        <w:t>cuenta con autonomía para gestionar sus propios inter</w:t>
      </w:r>
      <w:r w:rsidR="00403D8F" w:rsidRPr="00C00AD4">
        <w:rPr>
          <w:rFonts w:ascii="Arial" w:hAnsi="Arial" w:cs="Arial"/>
        </w:rPr>
        <w:t>eses</w:t>
      </w:r>
      <w:r w:rsidR="00403D8F" w:rsidRPr="00C00AD4">
        <w:rPr>
          <w:rStyle w:val="Refdenotaalpie"/>
          <w:rFonts w:ascii="Arial" w:hAnsi="Arial" w:cs="Arial"/>
        </w:rPr>
        <w:footnoteReference w:id="9"/>
      </w:r>
      <w:r w:rsidR="000A509A" w:rsidRPr="00C00AD4">
        <w:rPr>
          <w:rFonts w:ascii="Arial" w:hAnsi="Arial" w:cs="Arial"/>
        </w:rPr>
        <w:t xml:space="preserve">, en tal sentido, </w:t>
      </w:r>
      <w:r w:rsidR="00C34B9E">
        <w:rPr>
          <w:rFonts w:ascii="Arial" w:hAnsi="Arial" w:cs="Arial"/>
        </w:rPr>
        <w:t xml:space="preserve">debe </w:t>
      </w:r>
      <w:r w:rsidR="00704AFD">
        <w:rPr>
          <w:rFonts w:ascii="Arial" w:hAnsi="Arial" w:cs="Arial"/>
        </w:rPr>
        <w:t>analizar alternativas como la posibilidad de aplazar el recibo de los bienes para la fecha de entrega del inmueble</w:t>
      </w:r>
      <w:r w:rsidR="000E60C6">
        <w:rPr>
          <w:rFonts w:ascii="Arial" w:hAnsi="Arial" w:cs="Arial"/>
        </w:rPr>
        <w:t xml:space="preserve"> o s</w:t>
      </w:r>
      <w:r w:rsidR="00704AFD">
        <w:rPr>
          <w:rFonts w:ascii="Arial" w:hAnsi="Arial" w:cs="Arial"/>
        </w:rPr>
        <w:t>i ya fueron recibidos los bienes</w:t>
      </w:r>
      <w:r w:rsidR="000E60C6">
        <w:rPr>
          <w:rFonts w:ascii="Arial" w:hAnsi="Arial" w:cs="Arial"/>
        </w:rPr>
        <w:t>,</w:t>
      </w:r>
      <w:r w:rsidR="00704AFD">
        <w:rPr>
          <w:rFonts w:ascii="Arial" w:hAnsi="Arial" w:cs="Arial"/>
        </w:rPr>
        <w:t xml:space="preserve"> la </w:t>
      </w:r>
      <w:r w:rsidR="000E60C6">
        <w:rPr>
          <w:rFonts w:ascii="Arial" w:hAnsi="Arial" w:cs="Arial"/>
        </w:rPr>
        <w:t>necesidad</w:t>
      </w:r>
      <w:r w:rsidR="00704AFD">
        <w:rPr>
          <w:rFonts w:ascii="Arial" w:hAnsi="Arial" w:cs="Arial"/>
        </w:rPr>
        <w:t xml:space="preserve"> es custodiar y asegurar su buen estado hasta el momento de uso en el inmueble</w:t>
      </w:r>
      <w:r w:rsidR="000E60C6">
        <w:rPr>
          <w:rFonts w:ascii="Arial" w:hAnsi="Arial" w:cs="Arial"/>
        </w:rPr>
        <w:t xml:space="preserve"> para el que fueron adquiridos</w:t>
      </w:r>
      <w:r w:rsidR="00704AFD">
        <w:rPr>
          <w:rFonts w:ascii="Arial" w:hAnsi="Arial" w:cs="Arial"/>
        </w:rPr>
        <w:t>.</w:t>
      </w:r>
    </w:p>
    <w:p w14:paraId="323C0203" w14:textId="77777777" w:rsidR="00704AFD" w:rsidRDefault="00704AFD" w:rsidP="00C00AD4">
      <w:pPr>
        <w:jc w:val="both"/>
        <w:rPr>
          <w:rFonts w:ascii="Arial" w:hAnsi="Arial" w:cs="Arial"/>
        </w:rPr>
      </w:pPr>
    </w:p>
    <w:p w14:paraId="4F0C67A8" w14:textId="37151880" w:rsidR="00C34B9E" w:rsidRDefault="000E60C6" w:rsidP="00C00AD4">
      <w:pPr>
        <w:jc w:val="both"/>
        <w:rPr>
          <w:rFonts w:ascii="Arial" w:hAnsi="Arial" w:cs="Arial"/>
        </w:rPr>
      </w:pPr>
      <w:r>
        <w:rPr>
          <w:rFonts w:ascii="Arial" w:hAnsi="Arial" w:cs="Arial"/>
        </w:rPr>
        <w:t xml:space="preserve">Esta situación es cuestionable desde el principio de planeación contractual, pero hasta ese punto </w:t>
      </w:r>
      <w:r w:rsidR="003B1198">
        <w:rPr>
          <w:rFonts w:ascii="Arial" w:hAnsi="Arial" w:cs="Arial"/>
        </w:rPr>
        <w:t xml:space="preserve">es una falla administrativa, </w:t>
      </w:r>
      <w:r>
        <w:rPr>
          <w:rFonts w:ascii="Arial" w:hAnsi="Arial" w:cs="Arial"/>
        </w:rPr>
        <w:t>no hay ninguna otra situación de posible irregularidad</w:t>
      </w:r>
      <w:r w:rsidR="003B1198">
        <w:rPr>
          <w:rFonts w:ascii="Arial" w:hAnsi="Arial" w:cs="Arial"/>
        </w:rPr>
        <w:t xml:space="preserve"> administrativa o fiscal</w:t>
      </w:r>
      <w:r>
        <w:rPr>
          <w:rFonts w:ascii="Arial" w:hAnsi="Arial" w:cs="Arial"/>
        </w:rPr>
        <w:t>.</w:t>
      </w:r>
    </w:p>
    <w:p w14:paraId="62A93C26" w14:textId="320E55AD" w:rsidR="000E60C6" w:rsidRDefault="000E60C6" w:rsidP="00C00AD4">
      <w:pPr>
        <w:jc w:val="both"/>
        <w:rPr>
          <w:rFonts w:ascii="Arial" w:hAnsi="Arial" w:cs="Arial"/>
        </w:rPr>
      </w:pPr>
    </w:p>
    <w:p w14:paraId="6AF9AF2D" w14:textId="0BC83236" w:rsidR="000E60C6" w:rsidRDefault="003B1198" w:rsidP="00C00AD4">
      <w:pPr>
        <w:jc w:val="both"/>
        <w:rPr>
          <w:rFonts w:ascii="Arial" w:hAnsi="Arial" w:cs="Arial"/>
        </w:rPr>
      </w:pPr>
      <w:r>
        <w:rPr>
          <w:rFonts w:ascii="Arial" w:hAnsi="Arial" w:cs="Arial"/>
        </w:rPr>
        <w:t>R</w:t>
      </w:r>
      <w:r w:rsidR="000E60C6">
        <w:rPr>
          <w:rFonts w:ascii="Arial" w:hAnsi="Arial" w:cs="Arial"/>
        </w:rPr>
        <w:t xml:space="preserve">ealizar acciones para mitigar el efecto de esa posible falta de planeación, es una actitud prudente y diligente, que debe realizarse sin entrar en </w:t>
      </w:r>
      <w:r>
        <w:rPr>
          <w:rFonts w:ascii="Arial" w:hAnsi="Arial" w:cs="Arial"/>
        </w:rPr>
        <w:t>nuevos riesgos</w:t>
      </w:r>
      <w:r w:rsidR="000E60C6">
        <w:rPr>
          <w:rFonts w:ascii="Arial" w:hAnsi="Arial" w:cs="Arial"/>
        </w:rPr>
        <w:t>.</w:t>
      </w:r>
    </w:p>
    <w:p w14:paraId="2B8B4696" w14:textId="77777777" w:rsidR="00C34B9E" w:rsidRDefault="00C34B9E" w:rsidP="00C00AD4">
      <w:pPr>
        <w:jc w:val="both"/>
        <w:rPr>
          <w:rFonts w:ascii="Arial" w:hAnsi="Arial" w:cs="Arial"/>
        </w:rPr>
      </w:pPr>
    </w:p>
    <w:p w14:paraId="727ECF50" w14:textId="60DAD8DA" w:rsidR="00C34B9E" w:rsidRDefault="003B1198" w:rsidP="00C00AD4">
      <w:pPr>
        <w:jc w:val="both"/>
        <w:rPr>
          <w:rFonts w:ascii="Arial" w:hAnsi="Arial" w:cs="Arial"/>
        </w:rPr>
      </w:pPr>
      <w:r>
        <w:rPr>
          <w:rFonts w:ascii="Arial" w:hAnsi="Arial" w:cs="Arial"/>
        </w:rPr>
        <w:t>Cambiar la destinación de unos bienes que fueron a</w:t>
      </w:r>
      <w:r>
        <w:rPr>
          <w:rFonts w:ascii="Arial" w:hAnsi="Arial" w:cs="Arial"/>
        </w:rPr>
        <w:t>dquiri</w:t>
      </w:r>
      <w:r>
        <w:rPr>
          <w:rFonts w:ascii="Arial" w:hAnsi="Arial" w:cs="Arial"/>
        </w:rPr>
        <w:t>dos</w:t>
      </w:r>
      <w:r>
        <w:rPr>
          <w:rFonts w:ascii="Arial" w:hAnsi="Arial" w:cs="Arial"/>
        </w:rPr>
        <w:t xml:space="preserve"> </w:t>
      </w:r>
      <w:r>
        <w:rPr>
          <w:rFonts w:ascii="Arial" w:hAnsi="Arial" w:cs="Arial"/>
        </w:rPr>
        <w:t>bajo una justificación documentada, en donde se especificó sus características y cantidades para ser destinados a cumplir funciones asignadas y seguramente metas del Plan Distrital de Desarrollo, implica tener justificaciones suficientes para no incurrir en posibles delitos.</w:t>
      </w:r>
    </w:p>
    <w:p w14:paraId="27E95F71" w14:textId="77777777" w:rsidR="00500E9A" w:rsidRPr="00C00AD4" w:rsidRDefault="00500E9A" w:rsidP="00C00AD4">
      <w:pPr>
        <w:jc w:val="both"/>
        <w:rPr>
          <w:rFonts w:ascii="Arial" w:hAnsi="Arial" w:cs="Arial"/>
        </w:rPr>
      </w:pPr>
    </w:p>
    <w:p w14:paraId="4C92DEB3" w14:textId="3FA18EC6" w:rsidR="000414CB" w:rsidRPr="00C00AD4" w:rsidRDefault="00B8086E" w:rsidP="00C00AD4">
      <w:pPr>
        <w:jc w:val="both"/>
        <w:rPr>
          <w:rFonts w:ascii="Arial" w:hAnsi="Arial" w:cs="Arial"/>
        </w:rPr>
      </w:pPr>
      <w:r>
        <w:rPr>
          <w:rFonts w:ascii="Arial" w:hAnsi="Arial" w:cs="Arial"/>
        </w:rPr>
        <w:t>Si los bienes son fungibles o perecederos, podría ser una debida justificación</w:t>
      </w:r>
      <w:r w:rsidR="001D3289">
        <w:rPr>
          <w:rFonts w:ascii="Arial" w:hAnsi="Arial" w:cs="Arial"/>
        </w:rPr>
        <w:t xml:space="preserve"> para ser utilizados para resolver necesidades de </w:t>
      </w:r>
      <w:r w:rsidR="001D3289">
        <w:rPr>
          <w:rFonts w:ascii="Arial" w:hAnsi="Arial" w:cs="Arial"/>
        </w:rPr>
        <w:t>la entidad ejecutora de los recursos</w:t>
      </w:r>
      <w:r>
        <w:rPr>
          <w:rFonts w:ascii="Arial" w:hAnsi="Arial" w:cs="Arial"/>
        </w:rPr>
        <w:t>, en tanto que está en juego la pérdida de los recursos públicos</w:t>
      </w:r>
      <w:r w:rsidR="004407E8" w:rsidRPr="00C00AD4">
        <w:rPr>
          <w:rFonts w:ascii="Arial" w:hAnsi="Arial" w:cs="Arial"/>
        </w:rPr>
        <w:t>.</w:t>
      </w:r>
    </w:p>
    <w:p w14:paraId="0DC2C464" w14:textId="77777777" w:rsidR="000414CB" w:rsidRPr="00C00AD4" w:rsidRDefault="000414CB" w:rsidP="00C00AD4">
      <w:pPr>
        <w:jc w:val="both"/>
        <w:rPr>
          <w:rFonts w:ascii="Arial" w:hAnsi="Arial" w:cs="Arial"/>
        </w:rPr>
      </w:pPr>
    </w:p>
    <w:p w14:paraId="5565656F" w14:textId="616C594E" w:rsidR="001D3289" w:rsidRDefault="00CE2281" w:rsidP="00C00AD4">
      <w:pPr>
        <w:widowControl w:val="0"/>
        <w:jc w:val="both"/>
        <w:rPr>
          <w:rFonts w:ascii="Arial" w:hAnsi="Arial" w:cs="Arial"/>
        </w:rPr>
      </w:pPr>
      <w:r w:rsidRPr="00C00AD4">
        <w:rPr>
          <w:rFonts w:ascii="Arial" w:hAnsi="Arial" w:cs="Arial"/>
        </w:rPr>
        <w:t>Ahora bien,</w:t>
      </w:r>
      <w:r w:rsidR="00AC4931" w:rsidRPr="00C00AD4">
        <w:rPr>
          <w:rFonts w:ascii="Arial" w:hAnsi="Arial" w:cs="Arial"/>
        </w:rPr>
        <w:t xml:space="preserve"> </w:t>
      </w:r>
      <w:r w:rsidR="001D3289">
        <w:rPr>
          <w:rFonts w:ascii="Arial" w:hAnsi="Arial" w:cs="Arial"/>
        </w:rPr>
        <w:t xml:space="preserve">si es necesario el uso de los bienes adquiridos </w:t>
      </w:r>
      <w:r w:rsidR="001F7CFE">
        <w:rPr>
          <w:rFonts w:ascii="Arial" w:hAnsi="Arial" w:cs="Arial"/>
        </w:rPr>
        <w:t>temporalmente en</w:t>
      </w:r>
      <w:r w:rsidR="001D3289">
        <w:rPr>
          <w:rFonts w:ascii="Arial" w:hAnsi="Arial" w:cs="Arial"/>
        </w:rPr>
        <w:t xml:space="preserve"> entidad diferente a la destinataria</w:t>
      </w:r>
      <w:r w:rsidR="001F7CFE">
        <w:rPr>
          <w:rFonts w:ascii="Arial" w:hAnsi="Arial" w:cs="Arial"/>
        </w:rPr>
        <w:t xml:space="preserve"> original</w:t>
      </w:r>
      <w:r w:rsidR="001D3289">
        <w:rPr>
          <w:rFonts w:ascii="Arial" w:hAnsi="Arial" w:cs="Arial"/>
        </w:rPr>
        <w:t>, se debe realizar los respectivos registros contables para que esos bienes sean registrados a favor de la destinación original y trasladados en préstamo a la entidad que lo requiera temporalmente, mientras el inmueble sea entregado.</w:t>
      </w:r>
    </w:p>
    <w:p w14:paraId="20136099" w14:textId="77777777" w:rsidR="00436E64" w:rsidRPr="00C00AD4" w:rsidRDefault="00436E64" w:rsidP="00C00AD4">
      <w:pPr>
        <w:widowControl w:val="0"/>
        <w:jc w:val="both"/>
        <w:rPr>
          <w:rFonts w:ascii="Arial" w:hAnsi="Arial" w:cs="Arial"/>
          <w:highlight w:val="yellow"/>
        </w:rPr>
      </w:pPr>
    </w:p>
    <w:p w14:paraId="6FD9D112" w14:textId="77777777" w:rsidR="00A52AE6" w:rsidRPr="00C00AD4" w:rsidRDefault="00A52AE6" w:rsidP="00C00AD4">
      <w:pPr>
        <w:widowControl w:val="0"/>
        <w:jc w:val="both"/>
        <w:rPr>
          <w:rFonts w:ascii="Arial" w:eastAsiaTheme="minorHAnsi" w:hAnsi="Arial" w:cs="Arial"/>
          <w:b/>
          <w:bCs/>
        </w:rPr>
      </w:pPr>
      <w:r w:rsidRPr="00C00AD4">
        <w:rPr>
          <w:rFonts w:ascii="Arial" w:eastAsiaTheme="minorHAnsi" w:hAnsi="Arial" w:cs="Arial"/>
          <w:b/>
          <w:bCs/>
        </w:rPr>
        <w:t>CONCLUSIONES</w:t>
      </w:r>
    </w:p>
    <w:p w14:paraId="12369B40" w14:textId="77777777" w:rsidR="00A52AE6" w:rsidRPr="00C00AD4" w:rsidRDefault="00A52AE6" w:rsidP="00C00AD4">
      <w:pPr>
        <w:jc w:val="both"/>
        <w:rPr>
          <w:rFonts w:ascii="Arial" w:eastAsiaTheme="minorHAnsi" w:hAnsi="Arial" w:cs="Arial"/>
        </w:rPr>
      </w:pPr>
    </w:p>
    <w:p w14:paraId="71FBE667" w14:textId="6FED83B1" w:rsidR="00E5483C" w:rsidRPr="00C00AD4" w:rsidRDefault="00E5483C" w:rsidP="00C00AD4">
      <w:pPr>
        <w:jc w:val="both"/>
        <w:rPr>
          <w:rFonts w:ascii="Arial" w:hAnsi="Arial" w:cs="Arial"/>
          <w:b/>
          <w:bCs/>
        </w:rPr>
      </w:pPr>
      <w:r w:rsidRPr="00C00AD4">
        <w:rPr>
          <w:rFonts w:ascii="Arial" w:hAnsi="Arial" w:cs="Arial"/>
          <w:b/>
          <w:bCs/>
        </w:rPr>
        <w:t>¿Se puede hacer uso de los elementos, equipos, insumos y demás bienes recibidos a satisfacción con ocasión del proceso de selección abreviada por subasta inversa electrónica SASI-029-2020 y la terminación de los Contratos 001 de 2021 y 002 de 2021, en el desarrollo de las actividades que adelanta la Unidad de Cuidado Animal de este Instituto?</w:t>
      </w:r>
    </w:p>
    <w:p w14:paraId="67C300EA" w14:textId="77777777" w:rsidR="00E5483C" w:rsidRPr="00C00AD4" w:rsidRDefault="00E5483C" w:rsidP="00C00AD4">
      <w:pPr>
        <w:jc w:val="both"/>
        <w:rPr>
          <w:rFonts w:ascii="Arial" w:hAnsi="Arial" w:cs="Arial"/>
          <w:b/>
          <w:bCs/>
        </w:rPr>
      </w:pPr>
    </w:p>
    <w:p w14:paraId="12371358" w14:textId="574B2865" w:rsidR="00A56C09" w:rsidRDefault="00B30C74" w:rsidP="00C00AD4">
      <w:pPr>
        <w:jc w:val="both"/>
        <w:rPr>
          <w:rFonts w:ascii="Arial" w:hAnsi="Arial" w:cs="Arial"/>
        </w:rPr>
      </w:pPr>
      <w:r w:rsidRPr="00C00AD4">
        <w:rPr>
          <w:rFonts w:ascii="Arial" w:hAnsi="Arial" w:cs="Arial"/>
        </w:rPr>
        <w:t>Sí</w:t>
      </w:r>
      <w:r w:rsidR="00C14988">
        <w:rPr>
          <w:rFonts w:ascii="Arial" w:hAnsi="Arial" w:cs="Arial"/>
        </w:rPr>
        <w:t>,</w:t>
      </w:r>
      <w:r w:rsidR="00A56C09">
        <w:rPr>
          <w:rFonts w:ascii="Arial" w:hAnsi="Arial" w:cs="Arial"/>
        </w:rPr>
        <w:t xml:space="preserve"> </w:t>
      </w:r>
      <w:r w:rsidR="00365138">
        <w:rPr>
          <w:rFonts w:ascii="Arial" w:hAnsi="Arial" w:cs="Arial"/>
        </w:rPr>
        <w:t xml:space="preserve">temporalmente </w:t>
      </w:r>
      <w:r w:rsidR="00C14988">
        <w:rPr>
          <w:rFonts w:ascii="Arial" w:hAnsi="Arial" w:cs="Arial"/>
        </w:rPr>
        <w:t xml:space="preserve">una entidad </w:t>
      </w:r>
      <w:r w:rsidR="00A56C09">
        <w:rPr>
          <w:rFonts w:ascii="Arial" w:hAnsi="Arial" w:cs="Arial"/>
        </w:rPr>
        <w:t>puede hacer uso de los bienes de otra</w:t>
      </w:r>
      <w:r w:rsidR="00C14988">
        <w:rPr>
          <w:rFonts w:ascii="Arial" w:hAnsi="Arial" w:cs="Arial"/>
        </w:rPr>
        <w:t>,</w:t>
      </w:r>
      <w:r w:rsidR="00365138">
        <w:rPr>
          <w:rFonts w:ascii="Arial" w:hAnsi="Arial" w:cs="Arial"/>
        </w:rPr>
        <w:t xml:space="preserve"> o de</w:t>
      </w:r>
      <w:r w:rsidR="001D2C22">
        <w:rPr>
          <w:rFonts w:ascii="Arial" w:hAnsi="Arial" w:cs="Arial"/>
        </w:rPr>
        <w:t xml:space="preserve"> los bienes de</w:t>
      </w:r>
      <w:r w:rsidR="00365138">
        <w:rPr>
          <w:rFonts w:ascii="Arial" w:hAnsi="Arial" w:cs="Arial"/>
        </w:rPr>
        <w:t xml:space="preserve"> un proyecto para otro,</w:t>
      </w:r>
      <w:r w:rsidR="00C14988">
        <w:rPr>
          <w:rFonts w:ascii="Arial" w:hAnsi="Arial" w:cs="Arial"/>
        </w:rPr>
        <w:t xml:space="preserve"> </w:t>
      </w:r>
      <w:r w:rsidR="00365138">
        <w:rPr>
          <w:rFonts w:ascii="Arial" w:hAnsi="Arial" w:cs="Arial"/>
        </w:rPr>
        <w:t>constituyendo un</w:t>
      </w:r>
      <w:r w:rsidR="00C14988">
        <w:rPr>
          <w:rFonts w:ascii="Arial" w:hAnsi="Arial" w:cs="Arial"/>
        </w:rPr>
        <w:t xml:space="preserve"> préstamo</w:t>
      </w:r>
      <w:r w:rsidR="001D2C22">
        <w:rPr>
          <w:rFonts w:ascii="Arial" w:hAnsi="Arial" w:cs="Arial"/>
        </w:rPr>
        <w:t>, debida</w:t>
      </w:r>
      <w:r w:rsidR="00961D49">
        <w:rPr>
          <w:rFonts w:ascii="Arial" w:hAnsi="Arial" w:cs="Arial"/>
        </w:rPr>
        <w:t>mente</w:t>
      </w:r>
      <w:r w:rsidR="001D2C22">
        <w:rPr>
          <w:rFonts w:ascii="Arial" w:hAnsi="Arial" w:cs="Arial"/>
        </w:rPr>
        <w:t xml:space="preserve"> justifica</w:t>
      </w:r>
      <w:r w:rsidR="00961D49">
        <w:rPr>
          <w:rFonts w:ascii="Arial" w:hAnsi="Arial" w:cs="Arial"/>
        </w:rPr>
        <w:t>do</w:t>
      </w:r>
      <w:r w:rsidR="00A56C09">
        <w:rPr>
          <w:rFonts w:ascii="Arial" w:hAnsi="Arial" w:cs="Arial"/>
        </w:rPr>
        <w:t>.</w:t>
      </w:r>
    </w:p>
    <w:p w14:paraId="57FA68B9" w14:textId="77777777" w:rsidR="00A56C09" w:rsidRDefault="00A56C09" w:rsidP="00C00AD4">
      <w:pPr>
        <w:jc w:val="both"/>
        <w:rPr>
          <w:rFonts w:ascii="Arial" w:hAnsi="Arial" w:cs="Arial"/>
        </w:rPr>
      </w:pPr>
    </w:p>
    <w:p w14:paraId="3F0708D2" w14:textId="77777777" w:rsidR="00E5483C" w:rsidRPr="00C00AD4" w:rsidRDefault="00E5483C" w:rsidP="00C00AD4">
      <w:pPr>
        <w:jc w:val="both"/>
        <w:rPr>
          <w:rFonts w:ascii="Arial" w:hAnsi="Arial" w:cs="Arial"/>
          <w:b/>
          <w:bCs/>
        </w:rPr>
      </w:pPr>
      <w:r w:rsidRPr="00C00AD4">
        <w:rPr>
          <w:rFonts w:ascii="Arial" w:hAnsi="Arial" w:cs="Arial"/>
          <w:b/>
          <w:bCs/>
        </w:rPr>
        <w:t>¿Los elementos, equipos, insumos y bienes, adquiridos a través del proyecto 7556 del IDPYBA, se pueden volver a adquirir en la siguiente anualidad bajo el mismo proyecto y, por tanto, programarse en el presupuesto anual para la vigencia 2023, con el mismo objeto y finalidad?</w:t>
      </w:r>
    </w:p>
    <w:p w14:paraId="0BEA24C7" w14:textId="77777777" w:rsidR="00E5483C" w:rsidRPr="00C00AD4" w:rsidRDefault="00E5483C" w:rsidP="00C00AD4">
      <w:pPr>
        <w:jc w:val="both"/>
        <w:rPr>
          <w:rFonts w:ascii="Arial" w:hAnsi="Arial" w:cs="Arial"/>
          <w:b/>
          <w:bCs/>
        </w:rPr>
      </w:pPr>
    </w:p>
    <w:p w14:paraId="3FB04C7A" w14:textId="209EDECB" w:rsidR="00BE34BF" w:rsidRPr="00C00AD4" w:rsidRDefault="00A56C09" w:rsidP="00C00AD4">
      <w:pPr>
        <w:jc w:val="both"/>
        <w:rPr>
          <w:rFonts w:ascii="Arial" w:hAnsi="Arial" w:cs="Arial"/>
        </w:rPr>
      </w:pPr>
      <w:r>
        <w:rPr>
          <w:rFonts w:ascii="Arial" w:hAnsi="Arial" w:cs="Arial"/>
        </w:rPr>
        <w:t>No se podrían volver a adquirir</w:t>
      </w:r>
      <w:r w:rsidR="000D65B8">
        <w:rPr>
          <w:rFonts w:ascii="Arial" w:hAnsi="Arial" w:cs="Arial"/>
        </w:rPr>
        <w:t>, se recomienda usar la figura del préstamo de uso.</w:t>
      </w:r>
    </w:p>
    <w:p w14:paraId="2541E7CB" w14:textId="77777777" w:rsidR="00A35FAA" w:rsidRPr="00C00AD4" w:rsidRDefault="00A35FAA" w:rsidP="00C00AD4">
      <w:pPr>
        <w:jc w:val="both"/>
        <w:rPr>
          <w:rFonts w:ascii="Arial" w:hAnsi="Arial" w:cs="Arial"/>
          <w:b/>
          <w:bCs/>
        </w:rPr>
      </w:pPr>
    </w:p>
    <w:p w14:paraId="30919A85" w14:textId="5DA886A2" w:rsidR="00E5483C" w:rsidRPr="00C00AD4" w:rsidRDefault="00E5483C" w:rsidP="00C00AD4">
      <w:pPr>
        <w:jc w:val="both"/>
        <w:rPr>
          <w:rFonts w:ascii="Arial" w:hAnsi="Arial" w:cs="Arial"/>
          <w:b/>
          <w:bCs/>
        </w:rPr>
      </w:pPr>
      <w:r w:rsidRPr="00C00AD4">
        <w:rPr>
          <w:rFonts w:ascii="Arial" w:hAnsi="Arial" w:cs="Arial"/>
          <w:b/>
          <w:bCs/>
        </w:rPr>
        <w:t>¿La estructura de costos se ve afectada, en caso de que se requieran utilizar los elementos o bienes en un proyecto distinto al inicialmente presupuestado y, si con esto se infringe el principio de especialización del gasto, en el entendido que los mismos se destinarían para suplir una necesidad igual dentro de la entidad, pero en un espacio diferente, es decir, en la UCA?</w:t>
      </w:r>
    </w:p>
    <w:p w14:paraId="19484EED" w14:textId="77777777" w:rsidR="00A52AE6" w:rsidRPr="00C00AD4" w:rsidRDefault="00A52AE6" w:rsidP="00C00AD4">
      <w:pPr>
        <w:pStyle w:val="NormalWeb"/>
        <w:shd w:val="clear" w:color="auto" w:fill="FFFFFF"/>
        <w:spacing w:before="0" w:beforeAutospacing="0" w:after="0" w:afterAutospacing="0"/>
        <w:jc w:val="both"/>
        <w:textAlignment w:val="baseline"/>
        <w:rPr>
          <w:rFonts w:ascii="Arial" w:hAnsi="Arial" w:cs="Arial"/>
        </w:rPr>
      </w:pPr>
    </w:p>
    <w:p w14:paraId="254C1438" w14:textId="0D1BDAE8" w:rsidR="00A35FAA" w:rsidRPr="00C00AD4" w:rsidRDefault="00A56C09" w:rsidP="00C00AD4">
      <w:pPr>
        <w:pStyle w:val="NormalWeb"/>
        <w:shd w:val="clear" w:color="auto" w:fill="FFFFFF"/>
        <w:spacing w:before="0" w:beforeAutospacing="0" w:after="0" w:afterAutospacing="0"/>
        <w:jc w:val="both"/>
        <w:textAlignment w:val="baseline"/>
        <w:rPr>
          <w:rFonts w:ascii="Arial" w:hAnsi="Arial" w:cs="Arial"/>
        </w:rPr>
      </w:pPr>
      <w:r>
        <w:rPr>
          <w:rFonts w:ascii="Arial" w:hAnsi="Arial" w:cs="Arial"/>
        </w:rPr>
        <w:t xml:space="preserve">Si el uso se realiza a título de préstamo, las compras que requieran las otras entidades pueden continuar conforme a las necesidades </w:t>
      </w:r>
      <w:r w:rsidR="00365138">
        <w:rPr>
          <w:rFonts w:ascii="Arial" w:hAnsi="Arial" w:cs="Arial"/>
        </w:rPr>
        <w:t xml:space="preserve">y recursos </w:t>
      </w:r>
      <w:r>
        <w:rPr>
          <w:rFonts w:ascii="Arial" w:hAnsi="Arial" w:cs="Arial"/>
        </w:rPr>
        <w:t>de cada una</w:t>
      </w:r>
      <w:r w:rsidR="00805BD0" w:rsidRPr="00C00AD4">
        <w:rPr>
          <w:rFonts w:ascii="Arial" w:hAnsi="Arial" w:cs="Arial"/>
        </w:rPr>
        <w:t>.</w:t>
      </w:r>
    </w:p>
    <w:p w14:paraId="785118D0" w14:textId="77777777" w:rsidR="00A35FAA" w:rsidRPr="00C00AD4" w:rsidRDefault="00A35FAA" w:rsidP="00C00AD4">
      <w:pPr>
        <w:pStyle w:val="NormalWeb"/>
        <w:shd w:val="clear" w:color="auto" w:fill="FFFFFF"/>
        <w:spacing w:before="0" w:beforeAutospacing="0" w:after="0" w:afterAutospacing="0"/>
        <w:jc w:val="both"/>
        <w:textAlignment w:val="baseline"/>
        <w:rPr>
          <w:rFonts w:ascii="Arial" w:hAnsi="Arial" w:cs="Arial"/>
        </w:rPr>
      </w:pPr>
    </w:p>
    <w:p w14:paraId="06089BF7" w14:textId="77777777" w:rsidR="00A52AE6" w:rsidRPr="00C00AD4" w:rsidRDefault="00A52AE6" w:rsidP="00C00AD4">
      <w:pPr>
        <w:shd w:val="clear" w:color="auto" w:fill="FFFFFF"/>
        <w:contextualSpacing/>
        <w:jc w:val="both"/>
        <w:textAlignment w:val="baseline"/>
        <w:rPr>
          <w:rFonts w:ascii="Arial" w:hAnsi="Arial" w:cs="Arial"/>
          <w:lang w:eastAsia="es-CO"/>
        </w:rPr>
      </w:pPr>
      <w:r w:rsidRPr="00C00AD4">
        <w:rPr>
          <w:rFonts w:ascii="Arial" w:hAnsi="Arial" w:cs="Arial"/>
          <w:lang w:eastAsia="es-CO"/>
        </w:rPr>
        <w:t xml:space="preserve">En procura de impulsar la política de mejoramiento continuo en el procedimiento de Asesoría Jurídica de la Secretaría Distrital de Hacienda, solicito verifique si el concepto emitido contribuyó a resolver de fondo el problema jurídico planteado. De no ser así, por favor informe de manera inmediata a la Dirección Jurídica. </w:t>
      </w:r>
    </w:p>
    <w:p w14:paraId="1353F93F" w14:textId="77777777" w:rsidR="00A52AE6" w:rsidRPr="00C00AD4" w:rsidRDefault="00A52AE6" w:rsidP="00C00AD4">
      <w:pPr>
        <w:tabs>
          <w:tab w:val="left" w:pos="1560"/>
        </w:tabs>
        <w:contextualSpacing/>
        <w:jc w:val="both"/>
        <w:rPr>
          <w:rFonts w:ascii="Arial" w:hAnsi="Arial" w:cs="Arial"/>
          <w:lang w:eastAsia="es-CO"/>
        </w:rPr>
      </w:pPr>
    </w:p>
    <w:p w14:paraId="178DA74D" w14:textId="77777777" w:rsidR="00A52AE6" w:rsidRPr="00C00AD4" w:rsidRDefault="00A52AE6" w:rsidP="00C00AD4">
      <w:pPr>
        <w:tabs>
          <w:tab w:val="left" w:pos="1560"/>
        </w:tabs>
        <w:contextualSpacing/>
        <w:jc w:val="both"/>
        <w:rPr>
          <w:rFonts w:ascii="Arial" w:hAnsi="Arial" w:cs="Arial"/>
          <w:lang w:eastAsia="es-CO"/>
        </w:rPr>
      </w:pPr>
      <w:r w:rsidRPr="00C00AD4">
        <w:rPr>
          <w:rFonts w:ascii="Arial" w:hAnsi="Arial" w:cs="Arial"/>
          <w:lang w:eastAsia="es-CO"/>
        </w:rPr>
        <w:lastRenderedPageBreak/>
        <w:t xml:space="preserve">Cordialmente, </w:t>
      </w:r>
    </w:p>
    <w:p w14:paraId="3057FE67" w14:textId="77777777" w:rsidR="00A52AE6" w:rsidRPr="00C00AD4" w:rsidRDefault="00A52AE6" w:rsidP="00C00AD4">
      <w:pPr>
        <w:contextualSpacing/>
        <w:jc w:val="both"/>
        <w:rPr>
          <w:rFonts w:ascii="Arial" w:hAnsi="Arial" w:cs="Arial"/>
          <w:lang w:eastAsia="es-CO"/>
        </w:rPr>
      </w:pPr>
    </w:p>
    <w:p w14:paraId="3AC78F8F" w14:textId="77777777" w:rsidR="00A52AE6" w:rsidRPr="00C00AD4" w:rsidRDefault="00A52AE6" w:rsidP="00C00AD4">
      <w:pPr>
        <w:contextualSpacing/>
        <w:jc w:val="both"/>
        <w:rPr>
          <w:rFonts w:ascii="Arial" w:hAnsi="Arial" w:cs="Arial"/>
          <w:lang w:eastAsia="es-CO"/>
        </w:rPr>
      </w:pPr>
    </w:p>
    <w:p w14:paraId="14DB2822" w14:textId="77777777" w:rsidR="00A52AE6" w:rsidRPr="00C00AD4" w:rsidRDefault="00A52AE6" w:rsidP="00C00AD4">
      <w:pPr>
        <w:contextualSpacing/>
        <w:jc w:val="both"/>
        <w:rPr>
          <w:rFonts w:ascii="Arial" w:hAnsi="Arial" w:cs="Arial"/>
          <w:lang w:eastAsia="es-CO"/>
        </w:rPr>
      </w:pPr>
    </w:p>
    <w:p w14:paraId="369F6942" w14:textId="77777777" w:rsidR="00A52AE6" w:rsidRPr="00C00AD4" w:rsidRDefault="00A52AE6" w:rsidP="00C00AD4">
      <w:pPr>
        <w:contextualSpacing/>
        <w:jc w:val="both"/>
        <w:rPr>
          <w:rFonts w:ascii="Arial" w:hAnsi="Arial" w:cs="Arial"/>
          <w:lang w:eastAsia="es-CO"/>
        </w:rPr>
      </w:pPr>
    </w:p>
    <w:p w14:paraId="1C95D8B4" w14:textId="3DB8CBDF" w:rsidR="00A52AE6" w:rsidRPr="00724344" w:rsidRDefault="00CA1DDD" w:rsidP="00C00AD4">
      <w:pPr>
        <w:contextualSpacing/>
        <w:jc w:val="both"/>
        <w:rPr>
          <w:rFonts w:ascii="Arial" w:hAnsi="Arial" w:cs="Arial"/>
          <w:lang w:eastAsia="es-CO"/>
        </w:rPr>
      </w:pPr>
      <w:r w:rsidRPr="00C00AD4">
        <w:rPr>
          <w:rFonts w:ascii="Arial" w:hAnsi="Arial" w:cs="Arial"/>
          <w:lang w:eastAsia="es-CO"/>
        </w:rPr>
        <w:t>Leonardo Arturo Pazos Galindo</w:t>
      </w:r>
    </w:p>
    <w:p w14:paraId="3BA72F0F" w14:textId="77777777" w:rsidR="00A52AE6" w:rsidRPr="00C00AD4" w:rsidRDefault="00A52AE6" w:rsidP="00C00AD4">
      <w:pPr>
        <w:contextualSpacing/>
        <w:jc w:val="both"/>
        <w:rPr>
          <w:rFonts w:ascii="Arial" w:hAnsi="Arial" w:cs="Arial"/>
          <w:lang w:eastAsia="es-CO"/>
        </w:rPr>
      </w:pPr>
      <w:r w:rsidRPr="00C00AD4">
        <w:rPr>
          <w:rFonts w:ascii="Arial" w:hAnsi="Arial" w:cs="Arial"/>
          <w:lang w:eastAsia="es-CO"/>
        </w:rPr>
        <w:t xml:space="preserve">Director Jurídico </w:t>
      </w:r>
    </w:p>
    <w:p w14:paraId="17C518BC" w14:textId="77777777" w:rsidR="00A52AE6" w:rsidRPr="00C00AD4" w:rsidRDefault="00961D49" w:rsidP="00C00AD4">
      <w:pPr>
        <w:contextualSpacing/>
        <w:jc w:val="both"/>
        <w:rPr>
          <w:rFonts w:ascii="Arial" w:hAnsi="Arial" w:cs="Arial"/>
          <w:lang w:eastAsia="es-CO"/>
        </w:rPr>
      </w:pPr>
      <w:hyperlink r:id="rId10" w:history="1">
        <w:r w:rsidR="00A52AE6" w:rsidRPr="00C00AD4">
          <w:rPr>
            <w:rStyle w:val="Hipervnculo"/>
            <w:rFonts w:ascii="Arial" w:hAnsi="Arial" w:cs="Arial"/>
            <w:lang w:eastAsia="es-CO"/>
          </w:rPr>
          <w:t>lpazos@shd.gov.co</w:t>
        </w:r>
      </w:hyperlink>
    </w:p>
    <w:p w14:paraId="7F52A64E" w14:textId="21480015" w:rsidR="00A52AE6" w:rsidRDefault="00A52AE6" w:rsidP="00C00AD4">
      <w:pPr>
        <w:ind w:left="1418" w:right="-142" w:hanging="1418"/>
        <w:contextualSpacing/>
        <w:jc w:val="both"/>
        <w:rPr>
          <w:rFonts w:ascii="Arial" w:hAnsi="Arial" w:cs="Arial"/>
          <w:sz w:val="22"/>
          <w:szCs w:val="22"/>
          <w:lang w:val="es-ES"/>
        </w:rPr>
      </w:pPr>
    </w:p>
    <w:bookmarkEnd w:id="0"/>
    <w:p w14:paraId="3963A9CE" w14:textId="0F3B6EFF" w:rsidR="00A52AE6" w:rsidRPr="00724344" w:rsidRDefault="00A52AE6" w:rsidP="00961D49">
      <w:pPr>
        <w:ind w:left="1418" w:hanging="1418"/>
        <w:contextualSpacing/>
        <w:jc w:val="both"/>
        <w:rPr>
          <w:rFonts w:ascii="Arial" w:hAnsi="Arial" w:cs="Arial"/>
          <w:sz w:val="20"/>
          <w:szCs w:val="20"/>
          <w:lang w:val="es-ES"/>
        </w:rPr>
      </w:pPr>
      <w:r w:rsidRPr="00724344">
        <w:rPr>
          <w:rFonts w:ascii="Arial" w:hAnsi="Arial" w:cs="Arial"/>
          <w:sz w:val="20"/>
          <w:szCs w:val="20"/>
          <w:lang w:val="es-ES"/>
        </w:rPr>
        <w:t>Proyectó:</w:t>
      </w:r>
      <w:r w:rsidR="000D65B8">
        <w:rPr>
          <w:rFonts w:ascii="Arial" w:hAnsi="Arial" w:cs="Arial"/>
          <w:sz w:val="20"/>
          <w:szCs w:val="20"/>
          <w:lang w:val="es-ES"/>
        </w:rPr>
        <w:t xml:space="preserve"> </w:t>
      </w:r>
      <w:r w:rsidRPr="00724344">
        <w:rPr>
          <w:rFonts w:ascii="Arial" w:hAnsi="Arial" w:cs="Arial"/>
          <w:sz w:val="20"/>
          <w:szCs w:val="20"/>
          <w:lang w:val="es-ES"/>
        </w:rPr>
        <w:t xml:space="preserve">Carol Murillo Herrera – profesional especializado SJH </w:t>
      </w:r>
      <w:hyperlink r:id="rId11" w:history="1">
        <w:r w:rsidRPr="00724344">
          <w:rPr>
            <w:rStyle w:val="Hipervnculo"/>
            <w:rFonts w:ascii="Arial" w:hAnsi="Arial" w:cs="Arial"/>
            <w:sz w:val="20"/>
            <w:szCs w:val="20"/>
            <w:lang w:val="es-ES"/>
          </w:rPr>
          <w:t>cmurillo@shd.gov.co</w:t>
        </w:r>
      </w:hyperlink>
      <w:bookmarkEnd w:id="1"/>
    </w:p>
    <w:sectPr w:rsidR="00A52AE6" w:rsidRPr="00724344" w:rsidSect="0014228A">
      <w:headerReference w:type="default" r:id="rId12"/>
      <w:footerReference w:type="even" r:id="rId13"/>
      <w:footerReference w:type="default" r:id="rId14"/>
      <w:pgSz w:w="12240" w:h="15840" w:code="1"/>
      <w:pgMar w:top="1701" w:right="1467" w:bottom="1701" w:left="1701" w:header="624" w:footer="85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FE587" w14:textId="77777777" w:rsidR="0090263C" w:rsidRDefault="0090263C" w:rsidP="00A52AE6">
      <w:r>
        <w:separator/>
      </w:r>
    </w:p>
  </w:endnote>
  <w:endnote w:type="continuationSeparator" w:id="0">
    <w:p w14:paraId="2B87AF21" w14:textId="77777777" w:rsidR="0090263C" w:rsidRDefault="0090263C" w:rsidP="00A52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04B4D" w14:textId="77777777" w:rsidR="002A4340" w:rsidRDefault="00961D49"/>
  <w:p w14:paraId="3B65C0B5" w14:textId="77777777" w:rsidR="002A4340" w:rsidRDefault="00D945D5">
    <w:r>
      <w:rPr>
        <w:noProof/>
      </w:rPr>
      <mc:AlternateContent>
        <mc:Choice Requires="wps">
          <w:drawing>
            <wp:anchor distT="0" distB="0" distL="114300" distR="114300" simplePos="0" relativeHeight="251651072" behindDoc="0" locked="0" layoutInCell="1" allowOverlap="1" wp14:anchorId="37835BE4" wp14:editId="45690D4C">
              <wp:simplePos x="0" y="0"/>
              <wp:positionH relativeFrom="column">
                <wp:posOffset>2181860</wp:posOffset>
              </wp:positionH>
              <wp:positionV relativeFrom="paragraph">
                <wp:posOffset>9441180</wp:posOffset>
              </wp:positionV>
              <wp:extent cx="3928110" cy="40894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8110" cy="408940"/>
                      </a:xfrm>
                      <a:prstGeom prst="rect">
                        <a:avLst/>
                      </a:prstGeom>
                      <a:noFill/>
                      <a:ln>
                        <a:noFill/>
                      </a:ln>
                    </wps:spPr>
                    <wps:txbx>
                      <w:txbxContent>
                        <w:p w14:paraId="2D1CCF13" w14:textId="77777777" w:rsidR="002A4340" w:rsidRPr="003533F0" w:rsidRDefault="00D945D5" w:rsidP="002A4340">
                          <w:pPr>
                            <w:jc w:val="center"/>
                            <w:rPr>
                              <w:rFonts w:ascii="Arial" w:hAnsi="Arial" w:cs="Arial"/>
                              <w:b/>
                              <w:bCs/>
                              <w:sz w:val="15"/>
                              <w:szCs w:val="15"/>
                            </w:rPr>
                          </w:pPr>
                          <w:r w:rsidRPr="003533F0">
                            <w:rPr>
                              <w:rFonts w:ascii="Arial" w:hAnsi="Arial" w:cs="Arial"/>
                              <w:b/>
                              <w:bCs/>
                              <w:sz w:val="15"/>
                              <w:szCs w:val="15"/>
                            </w:rPr>
                            <w:t>Sede Administrativa CAD Carrera 30 No. 25-90</w:t>
                          </w:r>
                        </w:p>
                        <w:p w14:paraId="4540CFCA" w14:textId="77777777" w:rsidR="002A4340" w:rsidRPr="003533F0" w:rsidRDefault="00D945D5" w:rsidP="002A4340">
                          <w:pPr>
                            <w:jc w:val="center"/>
                            <w:rPr>
                              <w:rFonts w:ascii="Arial" w:hAnsi="Arial" w:cs="Arial"/>
                              <w:b/>
                              <w:bCs/>
                              <w:sz w:val="15"/>
                              <w:szCs w:val="15"/>
                            </w:rPr>
                          </w:pPr>
                          <w:r w:rsidRPr="003533F0">
                            <w:rPr>
                              <w:rFonts w:ascii="Arial" w:hAnsi="Arial" w:cs="Arial"/>
                              <w:b/>
                              <w:bCs/>
                              <w:sz w:val="15"/>
                              <w:szCs w:val="15"/>
                            </w:rPr>
                            <w:t xml:space="preserve">Sede Dirección Distrital de Impuestos: Av. Calle 17 No. 65 B - 95 </w:t>
                          </w:r>
                        </w:p>
                        <w:p w14:paraId="62704196" w14:textId="77777777" w:rsidR="002A4340" w:rsidRPr="003533F0" w:rsidRDefault="00D945D5" w:rsidP="002A4340">
                          <w:pPr>
                            <w:jc w:val="center"/>
                            <w:rPr>
                              <w:rFonts w:ascii="Arial" w:hAnsi="Arial" w:cs="Arial"/>
                              <w:b/>
                              <w:bCs/>
                              <w:sz w:val="15"/>
                              <w:szCs w:val="15"/>
                            </w:rPr>
                          </w:pPr>
                          <w:r w:rsidRPr="003533F0">
                            <w:rPr>
                              <w:rFonts w:ascii="Arial" w:hAnsi="Arial" w:cs="Arial"/>
                              <w:b/>
                              <w:bCs/>
                              <w:sz w:val="15"/>
                              <w:szCs w:val="15"/>
                            </w:rPr>
                            <w:t xml:space="preserve">PBX 369 2700 - 338 5000 * </w:t>
                          </w:r>
                          <w:hyperlink r:id="rId1" w:history="1">
                            <w:r w:rsidRPr="003533F0">
                              <w:rPr>
                                <w:rStyle w:val="PiedepginaCar"/>
                                <w:rFonts w:ascii="Arial" w:hAnsi="Arial" w:cs="Arial"/>
                                <w:b/>
                                <w:bCs/>
                                <w:sz w:val="15"/>
                                <w:szCs w:val="15"/>
                              </w:rPr>
                              <w:t>www.haciendabogota.gov.co</w:t>
                            </w:r>
                          </w:hyperlink>
                          <w:r w:rsidRPr="003533F0">
                            <w:rPr>
                              <w:rFonts w:ascii="Arial" w:hAnsi="Arial" w:cs="Arial"/>
                              <w:b/>
                              <w:bCs/>
                              <w:sz w:val="15"/>
                              <w:szCs w:val="15"/>
                            </w:rPr>
                            <w:t xml:space="preserve"> *  Información: Línea 195</w:t>
                          </w:r>
                        </w:p>
                        <w:p w14:paraId="07910318" w14:textId="77777777" w:rsidR="002A4340" w:rsidRDefault="00961D49" w:rsidP="002A43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835BE4" id="_x0000_t202" coordsize="21600,21600" o:spt="202" path="m,l,21600r21600,l21600,xe">
              <v:stroke joinstyle="miter"/>
              <v:path gradientshapeok="t" o:connecttype="rect"/>
            </v:shapetype>
            <v:shape id="Text Box 4" o:spid="_x0000_s1026" type="#_x0000_t202" style="position:absolute;margin-left:171.8pt;margin-top:743.4pt;width:309.3pt;height:32.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" filled="f" stroked="f">
              <v:textbox>
                <w:txbxContent>
                  <w:p w14:paraId="2D1CCF13" w14:textId="77777777" w:rsidR="002A4340" w:rsidRPr="003533F0" w:rsidRDefault="00D945D5" w:rsidP="002A4340">
                    <w:pPr>
                      <w:jc w:val="center"/>
                      <w:rPr>
                        <w:rFonts w:ascii="Arial" w:hAnsi="Arial" w:cs="Arial"/>
                        <w:b/>
                        <w:bCs/>
                        <w:sz w:val="15"/>
                        <w:szCs w:val="15"/>
                      </w:rPr>
                    </w:pPr>
                    <w:r w:rsidRPr="003533F0">
                      <w:rPr>
                        <w:rFonts w:ascii="Arial" w:hAnsi="Arial" w:cs="Arial"/>
                        <w:b/>
                        <w:bCs/>
                        <w:sz w:val="15"/>
                        <w:szCs w:val="15"/>
                      </w:rPr>
                      <w:t>Sede Administrativa CAD Carrera 30 No. 25-90</w:t>
                    </w:r>
                  </w:p>
                  <w:p w14:paraId="4540CFCA" w14:textId="77777777" w:rsidR="002A4340" w:rsidRPr="003533F0" w:rsidRDefault="00D945D5" w:rsidP="002A4340">
                    <w:pPr>
                      <w:jc w:val="center"/>
                      <w:rPr>
                        <w:rFonts w:ascii="Arial" w:hAnsi="Arial" w:cs="Arial"/>
                        <w:b/>
                        <w:bCs/>
                        <w:sz w:val="15"/>
                        <w:szCs w:val="15"/>
                      </w:rPr>
                    </w:pPr>
                    <w:r w:rsidRPr="003533F0">
                      <w:rPr>
                        <w:rFonts w:ascii="Arial" w:hAnsi="Arial" w:cs="Arial"/>
                        <w:b/>
                        <w:bCs/>
                        <w:sz w:val="15"/>
                        <w:szCs w:val="15"/>
                      </w:rPr>
                      <w:t xml:space="preserve">Sede Dirección Distrital de Impuestos: Av. Calle 17 No. 65 B - 95 </w:t>
                    </w:r>
                  </w:p>
                  <w:p w14:paraId="62704196" w14:textId="77777777" w:rsidR="002A4340" w:rsidRPr="003533F0" w:rsidRDefault="00D945D5" w:rsidP="002A4340">
                    <w:pPr>
                      <w:jc w:val="center"/>
                      <w:rPr>
                        <w:rFonts w:ascii="Arial" w:hAnsi="Arial" w:cs="Arial"/>
                        <w:b/>
                        <w:bCs/>
                        <w:sz w:val="15"/>
                        <w:szCs w:val="15"/>
                      </w:rPr>
                    </w:pPr>
                    <w:r w:rsidRPr="003533F0">
                      <w:rPr>
                        <w:rFonts w:ascii="Arial" w:hAnsi="Arial" w:cs="Arial"/>
                        <w:b/>
                        <w:bCs/>
                        <w:sz w:val="15"/>
                        <w:szCs w:val="15"/>
                      </w:rPr>
                      <w:t xml:space="preserve">PBX 369 2700 - 338 5000 * </w:t>
                    </w:r>
                    <w:hyperlink r:id="rId2" w:history="1">
                      <w:r w:rsidRPr="003533F0">
                        <w:rPr>
                          <w:rStyle w:val="PiedepginaCar"/>
                          <w:rFonts w:ascii="Arial" w:hAnsi="Arial" w:cs="Arial"/>
                          <w:b/>
                          <w:bCs/>
                          <w:sz w:val="15"/>
                          <w:szCs w:val="15"/>
                        </w:rPr>
                        <w:t>www.haciendabogota.gov.co</w:t>
                      </w:r>
                    </w:hyperlink>
                    <w:r w:rsidRPr="003533F0">
                      <w:rPr>
                        <w:rFonts w:ascii="Arial" w:hAnsi="Arial" w:cs="Arial"/>
                        <w:b/>
                        <w:bCs/>
                        <w:sz w:val="15"/>
                        <w:szCs w:val="15"/>
                      </w:rPr>
                      <w:t xml:space="preserve"> *  Información: Línea 195</w:t>
                    </w:r>
                  </w:p>
                  <w:p w14:paraId="07910318" w14:textId="77777777" w:rsidR="002A4340" w:rsidRDefault="0094413F" w:rsidP="002A4340"/>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9BC4D" w14:textId="77777777" w:rsidR="002A4340" w:rsidRDefault="00D945D5" w:rsidP="002A4340">
    <w:pPr>
      <w:pStyle w:val="Ttulo2"/>
    </w:pPr>
    <w:r>
      <w:rPr>
        <w:noProof/>
      </w:rPr>
      <w:drawing>
        <wp:anchor distT="0" distB="0" distL="114300" distR="114300" simplePos="0" relativeHeight="251667456" behindDoc="0" locked="0" layoutInCell="1" allowOverlap="0" wp14:anchorId="6A3003C9" wp14:editId="4F0E146E">
          <wp:simplePos x="0" y="0"/>
          <wp:positionH relativeFrom="page">
            <wp:posOffset>6052185</wp:posOffset>
          </wp:positionH>
          <wp:positionV relativeFrom="page">
            <wp:posOffset>8979535</wp:posOffset>
          </wp:positionV>
          <wp:extent cx="744855" cy="724535"/>
          <wp:effectExtent l="0" t="0" r="0" b="0"/>
          <wp:wrapSquare wrapText="bothSides"/>
          <wp:docPr id="16" name="Picture 20"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2" name="Picture 20" descr="Logotipo&#10;&#10;Descripción generada automáticamente"/>
                  <pic:cNvPicPr/>
                </pic:nvPicPr>
                <pic:blipFill>
                  <a:blip r:embed="rId1"/>
                  <a:stretch>
                    <a:fillRect/>
                  </a:stretch>
                </pic:blipFill>
                <pic:spPr>
                  <a:xfrm>
                    <a:off x="0" y="0"/>
                    <a:ext cx="744855" cy="724535"/>
                  </a:xfrm>
                  <a:prstGeom prst="rect">
                    <a:avLst/>
                  </a:prstGeom>
                </pic:spPr>
              </pic:pic>
            </a:graphicData>
          </a:graphic>
        </wp:anchor>
      </w:drawing>
    </w:r>
    <w:r>
      <w:rPr>
        <w:noProof/>
      </w:rPr>
      <w:drawing>
        <wp:anchor distT="0" distB="0" distL="114300" distR="114300" simplePos="0" relativeHeight="251663360" behindDoc="0" locked="0" layoutInCell="1" allowOverlap="0" wp14:anchorId="6A3294B4" wp14:editId="317FA7F1">
          <wp:simplePos x="0" y="0"/>
          <wp:positionH relativeFrom="margin">
            <wp:align>left</wp:align>
          </wp:positionH>
          <wp:positionV relativeFrom="page">
            <wp:posOffset>9030335</wp:posOffset>
          </wp:positionV>
          <wp:extent cx="2971800" cy="724535"/>
          <wp:effectExtent l="0" t="0" r="0" b="0"/>
          <wp:wrapSquare wrapText="bothSides"/>
          <wp:docPr id="17" name="Picture 18" descr="Forma&#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1" name="Picture 18" descr="Forma&#10;&#10;Descripción generada automáticamente con confianza media"/>
                  <pic:cNvPicPr/>
                </pic:nvPicPr>
                <pic:blipFill>
                  <a:blip r:embed="rId2"/>
                  <a:stretch>
                    <a:fillRect/>
                  </a:stretch>
                </pic:blipFill>
                <pic:spPr>
                  <a:xfrm>
                    <a:off x="0" y="0"/>
                    <a:ext cx="2971800" cy="724535"/>
                  </a:xfrm>
                  <a:prstGeom prst="rect">
                    <a:avLst/>
                  </a:prstGeom>
                </pic:spPr>
              </pic:pic>
            </a:graphicData>
          </a:graphic>
        </wp:anchor>
      </w:drawing>
    </w:r>
    <w:r>
      <w:rPr>
        <w:noProof/>
      </w:rPr>
      <mc:AlternateContent>
        <mc:Choice Requires="wps">
          <w:drawing>
            <wp:anchor distT="45720" distB="45720" distL="114300" distR="114300" simplePos="0" relativeHeight="251659264" behindDoc="0" locked="0" layoutInCell="1" allowOverlap="1" wp14:anchorId="095A8745" wp14:editId="710416D0">
              <wp:simplePos x="0" y="0"/>
              <wp:positionH relativeFrom="page">
                <wp:posOffset>6957060</wp:posOffset>
              </wp:positionH>
              <wp:positionV relativeFrom="paragraph">
                <wp:posOffset>-254000</wp:posOffset>
              </wp:positionV>
              <wp:extent cx="580390" cy="60388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 cy="603885"/>
                      </a:xfrm>
                      <a:prstGeom prst="rect">
                        <a:avLst/>
                      </a:prstGeom>
                      <a:solidFill>
                        <a:srgbClr val="FFFFFF"/>
                      </a:solidFill>
                      <a:ln w="9525">
                        <a:noFill/>
                        <a:miter lim="800000"/>
                        <a:headEnd/>
                        <a:tailEnd/>
                      </a:ln>
                    </wps:spPr>
                    <wps:txbx>
                      <w:txbxContent>
                        <w:p w14:paraId="1768D1B4" w14:textId="77777777" w:rsidR="002A4340" w:rsidRDefault="00D945D5">
                          <w:r>
                            <w:fldChar w:fldCharType="begin"/>
                          </w:r>
                          <w:r>
                            <w:instrText>PAGE   \* MERGEFORMAT</w:instrText>
                          </w:r>
                          <w:r>
                            <w:fldChar w:fldCharType="separate"/>
                          </w:r>
                          <w:r>
                            <w:rPr>
                              <w:lang w:val="es-ES"/>
                            </w:rPr>
                            <w:t>1</w:t>
                          </w:r>
                          <w:r>
                            <w:fldChar w:fldCharType="end"/>
                          </w:r>
                        </w:p>
                        <w:p w14:paraId="2B419A51" w14:textId="77777777" w:rsidR="002A4340" w:rsidRPr="005E167C" w:rsidRDefault="00D945D5">
                          <w:pPr>
                            <w:rPr>
                              <w:sz w:val="18"/>
                              <w:szCs w:val="18"/>
                            </w:rPr>
                          </w:pPr>
                          <w:r w:rsidRPr="005E167C">
                            <w:rPr>
                              <w:sz w:val="18"/>
                              <w:szCs w:val="18"/>
                            </w:rPr>
                            <w:t xml:space="preserve">35-F.01      </w:t>
                          </w:r>
                          <w:r>
                            <w:rPr>
                              <w:sz w:val="18"/>
                              <w:szCs w:val="18"/>
                            </w:rPr>
                            <w:t xml:space="preserve">  V</w:t>
                          </w:r>
                          <w:r w:rsidRPr="005E167C">
                            <w:rPr>
                              <w:sz w:val="18"/>
                              <w:szCs w:val="18"/>
                            </w:rP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5A8745" id="_x0000_t202" coordsize="21600,21600" o:spt="202" path="m,l,21600r21600,l21600,xe">
              <v:stroke joinstyle="miter"/>
              <v:path gradientshapeok="t" o:connecttype="rect"/>
            </v:shapetype>
            <v:shape id="Cuadro de texto 2" o:spid="_x0000_s1027" type="#_x0000_t202" style="position:absolute;margin-left:547.8pt;margin-top:-20pt;width:45.7pt;height:47.5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" stroked="f">
              <v:textbox>
                <w:txbxContent>
                  <w:p w14:paraId="1768D1B4" w14:textId="77777777" w:rsidR="002A4340" w:rsidRDefault="00D945D5">
                    <w:r>
                      <w:fldChar w:fldCharType="begin"/>
                    </w:r>
                    <w:r>
                      <w:instrText>PAGE   \* MERGEFORMAT</w:instrText>
                    </w:r>
                    <w:r>
                      <w:fldChar w:fldCharType="separate"/>
                    </w:r>
                    <w:r>
                      <w:rPr>
                        <w:lang w:val="es-ES"/>
                      </w:rPr>
                      <w:t>1</w:t>
                    </w:r>
                    <w:r>
                      <w:fldChar w:fldCharType="end"/>
                    </w:r>
                  </w:p>
                  <w:p w14:paraId="2B419A51" w14:textId="77777777" w:rsidR="002A4340" w:rsidRPr="005E167C" w:rsidRDefault="00D945D5">
                    <w:pPr>
                      <w:rPr>
                        <w:sz w:val="18"/>
                        <w:szCs w:val="18"/>
                      </w:rPr>
                    </w:pPr>
                    <w:r w:rsidRPr="005E167C">
                      <w:rPr>
                        <w:sz w:val="18"/>
                        <w:szCs w:val="18"/>
                      </w:rPr>
                      <w:t xml:space="preserve">35-F.01      </w:t>
                    </w:r>
                    <w:r>
                      <w:rPr>
                        <w:sz w:val="18"/>
                        <w:szCs w:val="18"/>
                      </w:rPr>
                      <w:t xml:space="preserve">  V</w:t>
                    </w:r>
                    <w:r w:rsidRPr="005E167C">
                      <w:rPr>
                        <w:sz w:val="18"/>
                        <w:szCs w:val="18"/>
                      </w:rPr>
                      <w:t>.10</w:t>
                    </w:r>
                  </w:p>
                </w:txbxContent>
              </v:textbox>
              <w10:wrap type="square"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87C60" w14:textId="77777777" w:rsidR="0090263C" w:rsidRDefault="0090263C" w:rsidP="00A52AE6">
      <w:r>
        <w:separator/>
      </w:r>
    </w:p>
  </w:footnote>
  <w:footnote w:type="continuationSeparator" w:id="0">
    <w:p w14:paraId="4BE92B41" w14:textId="77777777" w:rsidR="0090263C" w:rsidRDefault="0090263C" w:rsidP="00A52AE6">
      <w:r>
        <w:continuationSeparator/>
      </w:r>
    </w:p>
  </w:footnote>
  <w:footnote w:id="1">
    <w:p w14:paraId="4C654630" w14:textId="71CE709D" w:rsidR="000E0C82" w:rsidRPr="00724344" w:rsidRDefault="000E0C82" w:rsidP="005E6372">
      <w:pPr>
        <w:pStyle w:val="Textonotapie"/>
        <w:jc w:val="both"/>
        <w:rPr>
          <w:rFonts w:ascii="Arial" w:hAnsi="Arial" w:cs="Arial"/>
          <w:color w:val="000000"/>
          <w:shd w:val="clear" w:color="auto" w:fill="FFFFFF"/>
        </w:rPr>
      </w:pPr>
      <w:r w:rsidRPr="00724344">
        <w:rPr>
          <w:rStyle w:val="Refdenotaalpie"/>
          <w:rFonts w:ascii="Arial" w:hAnsi="Arial" w:cs="Arial"/>
        </w:rPr>
        <w:footnoteRef/>
      </w:r>
      <w:r w:rsidRPr="00724344">
        <w:rPr>
          <w:rFonts w:ascii="Arial" w:hAnsi="Arial" w:cs="Arial"/>
        </w:rPr>
        <w:t xml:space="preserve"> </w:t>
      </w:r>
      <w:r w:rsidRPr="00724344">
        <w:rPr>
          <w:rFonts w:ascii="Arial" w:hAnsi="Arial" w:cs="Arial"/>
          <w:color w:val="000000"/>
          <w:shd w:val="clear" w:color="auto" w:fill="FFFFFF"/>
        </w:rPr>
        <w:t>“Por medio del cual se ordena adecuar en el Distrito Capital el Centro Ecológico Distrital de Protección y Bienestar Animal -CEA- “Casa Ecológica de los Animales”.</w:t>
      </w:r>
    </w:p>
  </w:footnote>
  <w:footnote w:id="2">
    <w:p w14:paraId="53C9C937" w14:textId="77777777" w:rsidR="00EB5397" w:rsidRPr="00724344" w:rsidRDefault="00EB5397" w:rsidP="005E6372">
      <w:pPr>
        <w:pStyle w:val="Textonotapie"/>
        <w:jc w:val="both"/>
        <w:rPr>
          <w:rFonts w:ascii="Arial" w:hAnsi="Arial" w:cs="Arial"/>
          <w:color w:val="000000"/>
          <w:shd w:val="clear" w:color="auto" w:fill="FFFFFF"/>
        </w:rPr>
      </w:pPr>
    </w:p>
    <w:p w14:paraId="57DCDC36" w14:textId="0C77321A" w:rsidR="00396575" w:rsidRPr="00724344" w:rsidRDefault="00396575" w:rsidP="005E6372">
      <w:pPr>
        <w:pStyle w:val="Textonotapie"/>
        <w:jc w:val="both"/>
        <w:rPr>
          <w:rFonts w:ascii="Arial" w:hAnsi="Arial" w:cs="Arial"/>
          <w:color w:val="000000"/>
          <w:shd w:val="clear" w:color="auto" w:fill="FFFFFF"/>
        </w:rPr>
      </w:pPr>
      <w:r w:rsidRPr="00724344">
        <w:rPr>
          <w:rFonts w:ascii="Arial" w:hAnsi="Arial" w:cs="Arial"/>
          <w:color w:val="000000"/>
          <w:shd w:val="clear" w:color="auto" w:fill="FFFFFF"/>
        </w:rPr>
        <w:footnoteRef/>
      </w:r>
      <w:r w:rsidRPr="00724344">
        <w:rPr>
          <w:rFonts w:ascii="Arial" w:hAnsi="Arial" w:cs="Arial"/>
          <w:color w:val="000000"/>
          <w:shd w:val="clear" w:color="auto" w:fill="FFFFFF"/>
        </w:rPr>
        <w:t xml:space="preserve"> </w:t>
      </w:r>
      <w:r w:rsidR="0038047D" w:rsidRPr="00724344">
        <w:rPr>
          <w:rFonts w:ascii="Arial" w:hAnsi="Arial" w:cs="Arial"/>
          <w:color w:val="000000"/>
          <w:shd w:val="clear" w:color="auto" w:fill="FFFFFF"/>
        </w:rPr>
        <w:t>Fase 1 incluye los siguientes ítems: “Acceso principal, cuarto frio y subestación; Área de depósitos; Área de empleados; Área de etología; Área de mantenimiento; Aislamiento de perros y gatos; Alojamiento de perros; Alojamiento de gatos; Urbanismo, redes de servicios y parte de las obras generales</w:t>
      </w:r>
    </w:p>
  </w:footnote>
  <w:footnote w:id="3">
    <w:p w14:paraId="4D5592FC" w14:textId="77777777" w:rsidR="00EB5397" w:rsidRPr="00724344" w:rsidRDefault="00EB5397">
      <w:pPr>
        <w:pStyle w:val="Textonotapie"/>
        <w:rPr>
          <w:rFonts w:ascii="Arial" w:hAnsi="Arial" w:cs="Arial"/>
        </w:rPr>
      </w:pPr>
    </w:p>
    <w:p w14:paraId="0CECE3C9" w14:textId="7F391E8A" w:rsidR="00F06DF5" w:rsidRPr="007E3E7C" w:rsidRDefault="00F06DF5">
      <w:pPr>
        <w:pStyle w:val="Textonotapie"/>
        <w:rPr>
          <w:rFonts w:ascii="Arial" w:hAnsi="Arial" w:cs="Arial"/>
          <w:sz w:val="18"/>
          <w:szCs w:val="18"/>
        </w:rPr>
      </w:pPr>
      <w:r w:rsidRPr="00724344">
        <w:rPr>
          <w:rStyle w:val="Refdenotaalpie"/>
          <w:rFonts w:ascii="Arial" w:hAnsi="Arial" w:cs="Arial"/>
        </w:rPr>
        <w:footnoteRef/>
      </w:r>
      <w:r w:rsidRPr="00724344">
        <w:rPr>
          <w:rFonts w:ascii="Arial" w:hAnsi="Arial" w:cs="Arial"/>
        </w:rPr>
        <w:t xml:space="preserve"> </w:t>
      </w:r>
      <w:r w:rsidR="00F22F3D" w:rsidRPr="00724344">
        <w:rPr>
          <w:rFonts w:ascii="Arial" w:hAnsi="Arial" w:cs="Arial"/>
        </w:rPr>
        <w:t>“Un Nuevo Contrato Social y Ambiental para la Bogotá del Siglo XXI 2020- 2024”</w:t>
      </w:r>
    </w:p>
  </w:footnote>
  <w:footnote w:id="4">
    <w:p w14:paraId="027BAE9F" w14:textId="77777777" w:rsidR="00766ACB" w:rsidRPr="007E3E7C" w:rsidRDefault="00766ACB" w:rsidP="00766ACB">
      <w:pPr>
        <w:pStyle w:val="Textonotapie"/>
        <w:jc w:val="both"/>
        <w:rPr>
          <w:rFonts w:ascii="Arial" w:hAnsi="Arial" w:cs="Arial"/>
          <w:sz w:val="18"/>
          <w:szCs w:val="18"/>
        </w:rPr>
      </w:pPr>
      <w:r w:rsidRPr="00724344">
        <w:rPr>
          <w:rStyle w:val="Refdenotaalpie"/>
          <w:rFonts w:ascii="Arial" w:hAnsi="Arial" w:cs="Arial"/>
        </w:rPr>
        <w:footnoteRef/>
      </w:r>
      <w:r w:rsidRPr="00724344">
        <w:rPr>
          <w:rFonts w:ascii="Arial" w:hAnsi="Arial" w:cs="Arial"/>
        </w:rPr>
        <w:t xml:space="preserve"> A este respecto pueden mencionarse entre otras las Sentencias de la Corte Constitucional C-478 de 1992, C-018 de 1996, C-629 de 1996, C-772  de 1998, C-1379 de 2000 y C-1645 de 2000</w:t>
      </w:r>
      <w:r w:rsidRPr="007E3E7C">
        <w:rPr>
          <w:rFonts w:ascii="Arial" w:hAnsi="Arial" w:cs="Arial"/>
          <w:sz w:val="18"/>
          <w:szCs w:val="18"/>
        </w:rPr>
        <w:t>.</w:t>
      </w:r>
    </w:p>
  </w:footnote>
  <w:footnote w:id="5">
    <w:p w14:paraId="5DE6B3F2" w14:textId="77777777" w:rsidR="00766ACB" w:rsidRPr="00724344" w:rsidRDefault="00766ACB" w:rsidP="00724344">
      <w:pPr>
        <w:pStyle w:val="Ttulo4"/>
        <w:spacing w:before="0"/>
        <w:jc w:val="both"/>
        <w:rPr>
          <w:rFonts w:ascii="Arial" w:hAnsi="Arial" w:cs="Arial"/>
          <w:i w:val="0"/>
          <w:iCs w:val="0"/>
          <w:color w:val="auto"/>
          <w:sz w:val="20"/>
          <w:szCs w:val="20"/>
        </w:rPr>
      </w:pPr>
      <w:r w:rsidRPr="00724344">
        <w:rPr>
          <w:rStyle w:val="Refdenotaalpie"/>
          <w:rFonts w:ascii="Arial" w:hAnsi="Arial" w:cs="Arial"/>
          <w:sz w:val="20"/>
          <w:szCs w:val="20"/>
        </w:rPr>
        <w:footnoteRef/>
      </w:r>
      <w:r w:rsidRPr="00724344">
        <w:rPr>
          <w:rFonts w:ascii="Arial" w:hAnsi="Arial" w:cs="Arial"/>
          <w:sz w:val="20"/>
          <w:szCs w:val="20"/>
        </w:rPr>
        <w:t xml:space="preserve"> </w:t>
      </w:r>
      <w:r w:rsidRPr="00724344">
        <w:rPr>
          <w:rFonts w:ascii="Arial" w:hAnsi="Arial" w:cs="Arial"/>
          <w:i w:val="0"/>
          <w:iCs w:val="0"/>
          <w:color w:val="auto"/>
          <w:sz w:val="20"/>
          <w:szCs w:val="20"/>
          <w:shd w:val="clear" w:color="auto" w:fill="FFFFFF"/>
        </w:rPr>
        <w:t>Consejo de Estado,</w:t>
      </w:r>
      <w:r w:rsidRPr="00724344">
        <w:rPr>
          <w:rFonts w:ascii="Arial" w:hAnsi="Arial" w:cs="Arial"/>
          <w:i w:val="0"/>
          <w:iCs w:val="0"/>
          <w:color w:val="auto"/>
          <w:sz w:val="20"/>
          <w:szCs w:val="20"/>
        </w:rPr>
        <w:t xml:space="preserve"> Sala de lo Contencioso Administrativo Sección Tercera Subsección B Consejero ponente: Danilo Rojas Betancourt Bogotá D.C, dos (2) de marzo de dos mil diecisiete (2017). Radicación número: 25000-23-26-000-1997-03892-01(36442).</w:t>
      </w:r>
    </w:p>
  </w:footnote>
  <w:footnote w:id="6">
    <w:p w14:paraId="73CF5AFD" w14:textId="387A699D" w:rsidR="00046FF0" w:rsidRPr="00724344" w:rsidRDefault="00046FF0" w:rsidP="00724344">
      <w:pPr>
        <w:pStyle w:val="Textonotapie"/>
        <w:jc w:val="both"/>
        <w:rPr>
          <w:rFonts w:ascii="Arial" w:hAnsi="Arial" w:cs="Arial"/>
        </w:rPr>
      </w:pPr>
      <w:r w:rsidRPr="00724344">
        <w:rPr>
          <w:rStyle w:val="Refdenotaalpie"/>
          <w:rFonts w:ascii="Arial" w:hAnsi="Arial" w:cs="Arial"/>
        </w:rPr>
        <w:footnoteRef/>
      </w:r>
      <w:r w:rsidRPr="00724344">
        <w:rPr>
          <w:rFonts w:ascii="Arial" w:hAnsi="Arial" w:cs="Arial"/>
        </w:rPr>
        <w:t xml:space="preserve"> Corte Constitucional Sentencia C-119 del 15 de abril de 2020 Magistrado Ponente:</w:t>
      </w:r>
      <w:r w:rsidR="00A36B46" w:rsidRPr="00724344">
        <w:rPr>
          <w:rFonts w:ascii="Arial" w:hAnsi="Arial" w:cs="Arial"/>
        </w:rPr>
        <w:t xml:space="preserve"> </w:t>
      </w:r>
      <w:r w:rsidRPr="00724344">
        <w:rPr>
          <w:rFonts w:ascii="Arial" w:hAnsi="Arial" w:cs="Arial"/>
        </w:rPr>
        <w:t>Alejandro Linares Cantillo</w:t>
      </w:r>
    </w:p>
    <w:p w14:paraId="7CAE3A35" w14:textId="77777777" w:rsidR="00DF3085" w:rsidRPr="007E3E7C" w:rsidRDefault="00DF3085" w:rsidP="00046FF0">
      <w:pPr>
        <w:pStyle w:val="Textonotapie"/>
        <w:rPr>
          <w:rFonts w:ascii="Arial" w:hAnsi="Arial" w:cs="Arial"/>
          <w:sz w:val="18"/>
          <w:szCs w:val="18"/>
        </w:rPr>
      </w:pPr>
    </w:p>
  </w:footnote>
  <w:footnote w:id="7">
    <w:p w14:paraId="5B1C81DC" w14:textId="4F2AF6F8" w:rsidR="00267509" w:rsidRPr="00724344" w:rsidRDefault="00153D31" w:rsidP="00864F03">
      <w:pPr>
        <w:jc w:val="both"/>
        <w:rPr>
          <w:rFonts w:ascii="Georgia" w:hAnsi="Georgia" w:cs="Arial"/>
          <w:i/>
          <w:iCs/>
          <w:sz w:val="20"/>
          <w:szCs w:val="20"/>
          <w:shd w:val="clear" w:color="auto" w:fill="FFFFFF"/>
        </w:rPr>
      </w:pPr>
      <w:r w:rsidRPr="00724344">
        <w:rPr>
          <w:rStyle w:val="Refdenotaalpie"/>
          <w:rFonts w:ascii="Georgia" w:hAnsi="Georgia" w:cs="Arial"/>
          <w:i/>
          <w:iCs/>
          <w:sz w:val="20"/>
          <w:szCs w:val="20"/>
        </w:rPr>
        <w:footnoteRef/>
      </w:r>
      <w:r w:rsidRPr="00724344">
        <w:rPr>
          <w:rFonts w:ascii="Georgia" w:hAnsi="Georgia" w:cs="Arial"/>
          <w:i/>
          <w:iCs/>
          <w:sz w:val="20"/>
          <w:szCs w:val="20"/>
        </w:rPr>
        <w:t xml:space="preserve"> </w:t>
      </w:r>
      <w:r w:rsidR="009923D8" w:rsidRPr="00724344">
        <w:rPr>
          <w:rFonts w:ascii="Georgia" w:hAnsi="Georgia" w:cs="Arial"/>
          <w:i/>
          <w:iCs/>
          <w:sz w:val="20"/>
          <w:szCs w:val="20"/>
          <w:shd w:val="clear" w:color="auto" w:fill="FFFFFF"/>
        </w:rPr>
        <w:t>Artículo 1°. Creación. Créase el Instituto Distrital de Protección y Bienestar animal – IDPYBA – como un establecimiento público del orden distrital, con personería jurídica, autonomía administrativa, financiera y presupuestal, y patrimonio propio, adscrito al sector Ambiente.</w:t>
      </w:r>
      <w:r w:rsidR="00267509" w:rsidRPr="00724344">
        <w:rPr>
          <w:rFonts w:ascii="Georgia" w:hAnsi="Georgia" w:cs="Arial"/>
          <w:i/>
          <w:iCs/>
          <w:sz w:val="20"/>
          <w:szCs w:val="20"/>
          <w:shd w:val="clear" w:color="auto" w:fill="FFFFFF"/>
        </w:rPr>
        <w:t xml:space="preserve"> </w:t>
      </w:r>
      <w:r w:rsidR="00F61423" w:rsidRPr="00724344">
        <w:rPr>
          <w:rFonts w:ascii="Georgia" w:hAnsi="Georgia" w:cs="Arial"/>
          <w:i/>
          <w:iCs/>
          <w:sz w:val="20"/>
          <w:szCs w:val="20"/>
          <w:shd w:val="clear" w:color="auto" w:fill="FFFFFF"/>
        </w:rPr>
        <w:t>Decreto 546 de 2016.</w:t>
      </w:r>
    </w:p>
    <w:p w14:paraId="4E9326FC" w14:textId="32575738" w:rsidR="00153D31" w:rsidRPr="00724344" w:rsidRDefault="00153D31" w:rsidP="00864F03">
      <w:pPr>
        <w:pStyle w:val="Textonotapie"/>
        <w:jc w:val="both"/>
        <w:rPr>
          <w:rFonts w:ascii="Georgia" w:hAnsi="Georgia" w:cs="Arial"/>
          <w:i/>
          <w:iCs/>
          <w:lang w:val="es-ES"/>
        </w:rPr>
      </w:pPr>
    </w:p>
  </w:footnote>
  <w:footnote w:id="8">
    <w:p w14:paraId="4F57E45D" w14:textId="3D7B3908" w:rsidR="00126932" w:rsidRPr="00724344" w:rsidRDefault="003726C5" w:rsidP="00864F03">
      <w:pPr>
        <w:shd w:val="clear" w:color="auto" w:fill="FFFFFF"/>
        <w:jc w:val="both"/>
        <w:rPr>
          <w:rFonts w:ascii="Georgia" w:hAnsi="Georgia" w:cs="Arial"/>
          <w:sz w:val="20"/>
          <w:szCs w:val="20"/>
          <w:lang w:eastAsia="es-CO"/>
        </w:rPr>
      </w:pPr>
      <w:r w:rsidRPr="00724344">
        <w:rPr>
          <w:rStyle w:val="Refdenotaalpie"/>
          <w:rFonts w:ascii="Georgia" w:hAnsi="Georgia" w:cs="Arial"/>
          <w:i/>
          <w:iCs/>
          <w:sz w:val="20"/>
          <w:szCs w:val="20"/>
        </w:rPr>
        <w:footnoteRef/>
      </w:r>
      <w:r w:rsidRPr="00724344">
        <w:rPr>
          <w:rFonts w:ascii="Georgia" w:hAnsi="Georgia" w:cs="Arial"/>
          <w:i/>
          <w:iCs/>
          <w:sz w:val="20"/>
          <w:szCs w:val="20"/>
        </w:rPr>
        <w:t xml:space="preserve"> </w:t>
      </w:r>
      <w:r w:rsidR="00126932" w:rsidRPr="00724344">
        <w:rPr>
          <w:rFonts w:ascii="Georgia" w:hAnsi="Georgia" w:cs="Arial"/>
          <w:i/>
          <w:iCs/>
          <w:sz w:val="20"/>
          <w:szCs w:val="20"/>
          <w:lang w:eastAsia="es-CO"/>
        </w:rPr>
        <w:t>Por medio del cual se crea el Instituto Distrital de Protección y Bienestar Animal – IDPYBA</w:t>
      </w:r>
      <w:r w:rsidR="00126932" w:rsidRPr="00724344">
        <w:rPr>
          <w:rFonts w:ascii="Georgia" w:hAnsi="Georgia" w:cs="Arial"/>
          <w:sz w:val="20"/>
          <w:szCs w:val="20"/>
          <w:lang w:eastAsia="es-CO"/>
        </w:rPr>
        <w:t> </w:t>
      </w:r>
    </w:p>
    <w:p w14:paraId="3AAF89AB" w14:textId="79E0A916" w:rsidR="003726C5" w:rsidRPr="00724344" w:rsidRDefault="003726C5" w:rsidP="00864F03">
      <w:pPr>
        <w:pStyle w:val="Textonotapie"/>
        <w:jc w:val="both"/>
        <w:rPr>
          <w:rFonts w:ascii="Georgia" w:hAnsi="Georgia" w:cs="Arial"/>
        </w:rPr>
      </w:pPr>
    </w:p>
  </w:footnote>
  <w:footnote w:id="9">
    <w:p w14:paraId="608A7142" w14:textId="6243537D" w:rsidR="00CA4AA2" w:rsidRPr="00724344" w:rsidRDefault="00403D8F" w:rsidP="00864F03">
      <w:pPr>
        <w:pStyle w:val="NormalWeb"/>
        <w:shd w:val="clear" w:color="auto" w:fill="FFFFFF"/>
        <w:spacing w:before="0" w:beforeAutospacing="0" w:after="0" w:afterAutospacing="0"/>
        <w:jc w:val="both"/>
        <w:rPr>
          <w:rFonts w:ascii="Georgia" w:hAnsi="Georgia" w:cs="Arial"/>
          <w:sz w:val="20"/>
          <w:szCs w:val="20"/>
        </w:rPr>
      </w:pPr>
      <w:r w:rsidRPr="00724344">
        <w:rPr>
          <w:rStyle w:val="Refdenotaalpie"/>
          <w:rFonts w:ascii="Georgia" w:hAnsi="Georgia" w:cs="Arial"/>
          <w:sz w:val="20"/>
          <w:szCs w:val="20"/>
        </w:rPr>
        <w:footnoteRef/>
      </w:r>
      <w:r w:rsidR="00CA4AA2" w:rsidRPr="00724344">
        <w:rPr>
          <w:rFonts w:ascii="Georgia" w:hAnsi="Georgia" w:cs="Arial"/>
          <w:i/>
          <w:iCs/>
          <w:sz w:val="20"/>
          <w:szCs w:val="20"/>
        </w:rPr>
        <w:t>En ese esquema, para la distribución de </w:t>
      </w:r>
      <w:r w:rsidR="00CA4AA2" w:rsidRPr="00724344">
        <w:rPr>
          <w:rFonts w:ascii="Georgia" w:hAnsi="Georgia" w:cs="Arial"/>
          <w:i/>
          <w:iCs/>
          <w:sz w:val="20"/>
          <w:szCs w:val="20"/>
          <w:u w:val="single"/>
        </w:rPr>
        <w:t>competencias entre la Nación y las entidades territoriales</w:t>
      </w:r>
      <w:r w:rsidR="00CA4AA2" w:rsidRPr="00724344">
        <w:rPr>
          <w:rFonts w:ascii="Georgia" w:hAnsi="Georgia" w:cs="Arial"/>
          <w:i/>
          <w:iCs/>
          <w:sz w:val="20"/>
          <w:szCs w:val="20"/>
        </w:rPr>
        <w:t>, el legislador deberá tener en cuenta que el contenido esencial de</w:t>
      </w:r>
      <w:r w:rsidR="00CA4AA2" w:rsidRPr="00724344">
        <w:rPr>
          <w:rFonts w:ascii="Georgia" w:hAnsi="Georgia" w:cs="Arial"/>
          <w:i/>
          <w:iCs/>
          <w:sz w:val="20"/>
          <w:szCs w:val="20"/>
          <w:u w:val="single"/>
        </w:rPr>
        <w:t> la autonomía se centra en la posibilidad de gestionar los propios intereses </w:t>
      </w:r>
      <w:r w:rsidR="00CA4AA2" w:rsidRPr="00724344">
        <w:rPr>
          <w:rFonts w:ascii="Georgia" w:hAnsi="Georgia" w:cs="Arial"/>
          <w:i/>
          <w:iCs/>
          <w:sz w:val="20"/>
          <w:szCs w:val="20"/>
        </w:rPr>
        <w:t>(C.P. art </w:t>
      </w:r>
      <w:hyperlink r:id="rId1" w:anchor="287" w:history="1">
        <w:r w:rsidR="00CA4AA2" w:rsidRPr="00724344">
          <w:rPr>
            <w:rStyle w:val="Hipervnculo"/>
            <w:rFonts w:ascii="Georgia" w:hAnsi="Georgia" w:cs="Arial"/>
            <w:i/>
            <w:iCs/>
            <w:color w:val="auto"/>
            <w:sz w:val="20"/>
            <w:szCs w:val="20"/>
          </w:rPr>
          <w:t>287</w:t>
        </w:r>
      </w:hyperlink>
      <w:r w:rsidR="00CA4AA2" w:rsidRPr="00724344">
        <w:rPr>
          <w:rFonts w:ascii="Georgia" w:hAnsi="Georgia" w:cs="Arial"/>
          <w:i/>
          <w:iCs/>
          <w:sz w:val="20"/>
          <w:szCs w:val="20"/>
        </w:rPr>
        <w:t>), </w:t>
      </w:r>
      <w:r w:rsidR="00CA4AA2" w:rsidRPr="00724344">
        <w:rPr>
          <w:rFonts w:ascii="Georgia" w:hAnsi="Georgia" w:cs="Arial"/>
          <w:i/>
          <w:iCs/>
          <w:sz w:val="20"/>
          <w:szCs w:val="20"/>
          <w:u w:val="single"/>
        </w:rPr>
        <w:t>una de cuyas manifestaciones más importantes es el derecho a actuar a través de órganos propios en la administración y el gobierno de los asuntos de interés regional o local</w:t>
      </w:r>
      <w:r w:rsidR="00CA4AA2" w:rsidRPr="00724344">
        <w:rPr>
          <w:rFonts w:ascii="Georgia" w:hAnsi="Georgia" w:cs="Arial"/>
          <w:i/>
          <w:iCs/>
          <w:sz w:val="20"/>
          <w:szCs w:val="20"/>
        </w:rPr>
        <w:t xml:space="preserve">. Tal derecho, contenido de manera expresa en el Artículo </w:t>
      </w:r>
      <w:r w:rsidR="00484A21" w:rsidRPr="00724344">
        <w:rPr>
          <w:rFonts w:ascii="Georgia" w:hAnsi="Georgia" w:cs="Arial"/>
          <w:i/>
          <w:iCs/>
          <w:sz w:val="20"/>
          <w:szCs w:val="20"/>
        </w:rPr>
        <w:t xml:space="preserve"> </w:t>
      </w:r>
      <w:r w:rsidR="00CA4AA2" w:rsidRPr="00724344">
        <w:rPr>
          <w:rFonts w:ascii="Georgia" w:hAnsi="Georgia" w:cs="Arial"/>
          <w:i/>
          <w:iCs/>
          <w:sz w:val="20"/>
          <w:szCs w:val="20"/>
        </w:rPr>
        <w:t>287 Superior, hace parte del núcleo esencial de la autonomía, indisponible por el legislador, y se complementa con las previsiones de los Artículos </w:t>
      </w:r>
      <w:hyperlink r:id="rId2" w:anchor="300.7" w:history="1">
        <w:r w:rsidR="00CA4AA2" w:rsidRPr="00724344">
          <w:rPr>
            <w:rStyle w:val="Hipervnculo"/>
            <w:rFonts w:ascii="Georgia" w:hAnsi="Georgia" w:cs="Arial"/>
            <w:i/>
            <w:iCs/>
            <w:color w:val="auto"/>
            <w:sz w:val="20"/>
            <w:szCs w:val="20"/>
          </w:rPr>
          <w:t>300-7</w:t>
        </w:r>
      </w:hyperlink>
      <w:r w:rsidR="00CA4AA2" w:rsidRPr="00724344">
        <w:rPr>
          <w:rFonts w:ascii="Georgia" w:hAnsi="Georgia" w:cs="Arial"/>
          <w:i/>
          <w:iCs/>
          <w:sz w:val="20"/>
          <w:szCs w:val="20"/>
        </w:rPr>
        <w:t> y </w:t>
      </w:r>
      <w:hyperlink r:id="rId3" w:anchor="313.6" w:history="1">
        <w:r w:rsidR="00CA4AA2" w:rsidRPr="00724344">
          <w:rPr>
            <w:rStyle w:val="Hipervnculo"/>
            <w:rFonts w:ascii="Georgia" w:hAnsi="Georgia" w:cs="Arial"/>
            <w:i/>
            <w:iCs/>
            <w:color w:val="auto"/>
            <w:sz w:val="20"/>
            <w:szCs w:val="20"/>
          </w:rPr>
          <w:t>313-6</w:t>
        </w:r>
      </w:hyperlink>
      <w:r w:rsidR="00CA4AA2" w:rsidRPr="00724344">
        <w:rPr>
          <w:rFonts w:ascii="Georgia" w:hAnsi="Georgia" w:cs="Arial"/>
          <w:i/>
          <w:iCs/>
          <w:sz w:val="20"/>
          <w:szCs w:val="20"/>
        </w:rPr>
        <w:t> de la Constitución, conforme a los cuales corresponde a las entidades territoriales determinar la estructura de sus respectivas administraciones, creando las dependencias que se estimen necesarias y fijándoles las correlativas funciones.</w:t>
      </w:r>
      <w:r w:rsidR="00D12B54" w:rsidRPr="00724344">
        <w:rPr>
          <w:rFonts w:ascii="Georgia" w:hAnsi="Georgia" w:cs="Arial"/>
          <w:sz w:val="20"/>
          <w:szCs w:val="20"/>
        </w:rPr>
        <w:t xml:space="preserve"> </w:t>
      </w:r>
      <w:r w:rsidR="00D12B54" w:rsidRPr="00724344">
        <w:rPr>
          <w:rFonts w:ascii="Georgia" w:hAnsi="Georgia" w:cs="Arial"/>
          <w:i/>
          <w:iCs/>
          <w:sz w:val="20"/>
          <w:szCs w:val="20"/>
        </w:rPr>
        <w:t>Concepto 192241 de 2021 Departamento Administrativo de la Función Pública</w:t>
      </w:r>
    </w:p>
    <w:p w14:paraId="44BC2CDF" w14:textId="3A27D3E2" w:rsidR="00403D8F" w:rsidRPr="007E3E7C" w:rsidRDefault="00403D8F" w:rsidP="00864F03">
      <w:pPr>
        <w:pStyle w:val="Textonotapie"/>
        <w:rPr>
          <w:rFonts w:ascii="Arial" w:hAnsi="Arial" w:cs="Arial"/>
          <w:sz w:val="18"/>
          <w:szCs w:val="18"/>
        </w:rPr>
      </w:pPr>
      <w:r w:rsidRPr="007E3E7C">
        <w:rPr>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7BD85" w14:textId="77777777" w:rsidR="002A4340" w:rsidRPr="00B50543" w:rsidRDefault="00D945D5">
    <w:pPr>
      <w:jc w:val="center"/>
    </w:pPr>
    <w:r>
      <w:rPr>
        <w:noProof/>
      </w:rPr>
      <w:drawing>
        <wp:anchor distT="0" distB="0" distL="114300" distR="114300" simplePos="0" relativeHeight="251655168" behindDoc="1" locked="0" layoutInCell="1" allowOverlap="1" wp14:anchorId="20183739" wp14:editId="5C0B45D8">
          <wp:simplePos x="0" y="0"/>
          <wp:positionH relativeFrom="page">
            <wp:align>left</wp:align>
          </wp:positionH>
          <wp:positionV relativeFrom="paragraph">
            <wp:posOffset>-359410</wp:posOffset>
          </wp:positionV>
          <wp:extent cx="7880985" cy="1235075"/>
          <wp:effectExtent l="0" t="0" r="0" b="0"/>
          <wp:wrapNone/>
          <wp:docPr id="15" name="Imagen 15" descr="Imagen que contiene reloj&#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Imagen que contiene reloj&#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0985" cy="1235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BA566A"/>
    <w:multiLevelType w:val="hybridMultilevel"/>
    <w:tmpl w:val="07FE0B2E"/>
    <w:lvl w:ilvl="0" w:tplc="725A419E">
      <w:numFmt w:val="bullet"/>
      <w:lvlText w:val="-"/>
      <w:lvlJc w:val="left"/>
      <w:pPr>
        <w:ind w:left="720" w:hanging="360"/>
      </w:pPr>
      <w:rPr>
        <w:rFonts w:ascii="Arial Unicode MS" w:eastAsia="Arial Unicode MS" w:hAnsi="Arial Unicode MS" w:cs="Arial Unicode MS" w:hint="eastAsia"/>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AAA544D"/>
    <w:multiLevelType w:val="hybridMultilevel"/>
    <w:tmpl w:val="BC9AF5B2"/>
    <w:lvl w:ilvl="0" w:tplc="58BED19A">
      <w:start w:val="1"/>
      <w:numFmt w:val="lowerRoman"/>
      <w:lvlText w:val="%1)"/>
      <w:lvlJc w:val="left"/>
      <w:pPr>
        <w:ind w:left="1080" w:hanging="72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47E6165"/>
    <w:multiLevelType w:val="hybridMultilevel"/>
    <w:tmpl w:val="2C4CDFBC"/>
    <w:lvl w:ilvl="0" w:tplc="151AFDB4">
      <w:start w:val="1"/>
      <w:numFmt w:val="decimal"/>
      <w:lvlText w:val="%1."/>
      <w:lvlJc w:val="left"/>
      <w:pPr>
        <w:ind w:left="0" w:firstLine="0"/>
      </w:pPr>
      <w:rPr>
        <w:rFonts w:hint="default"/>
        <w:b w:val="0"/>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75564572"/>
    <w:multiLevelType w:val="hybridMultilevel"/>
    <w:tmpl w:val="0BB218A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156264530">
    <w:abstractNumId w:val="1"/>
  </w:num>
  <w:num w:numId="2" w16cid:durableId="968517416">
    <w:abstractNumId w:val="0"/>
  </w:num>
  <w:num w:numId="3" w16cid:durableId="1733312688">
    <w:abstractNumId w:val="3"/>
  </w:num>
  <w:num w:numId="4" w16cid:durableId="21278496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AE6"/>
    <w:rsid w:val="000035F5"/>
    <w:rsid w:val="00005034"/>
    <w:rsid w:val="000116BE"/>
    <w:rsid w:val="00012EE2"/>
    <w:rsid w:val="00017383"/>
    <w:rsid w:val="00025372"/>
    <w:rsid w:val="00027B73"/>
    <w:rsid w:val="00040F3E"/>
    <w:rsid w:val="000414CB"/>
    <w:rsid w:val="00044AB2"/>
    <w:rsid w:val="000462E2"/>
    <w:rsid w:val="00046FF0"/>
    <w:rsid w:val="00054A04"/>
    <w:rsid w:val="00054BC0"/>
    <w:rsid w:val="00056D8D"/>
    <w:rsid w:val="00066388"/>
    <w:rsid w:val="000669F9"/>
    <w:rsid w:val="00081047"/>
    <w:rsid w:val="00087BA2"/>
    <w:rsid w:val="000A2A76"/>
    <w:rsid w:val="000A509A"/>
    <w:rsid w:val="000B1B75"/>
    <w:rsid w:val="000B3818"/>
    <w:rsid w:val="000B4F2F"/>
    <w:rsid w:val="000B7313"/>
    <w:rsid w:val="000C12C2"/>
    <w:rsid w:val="000C1B9C"/>
    <w:rsid w:val="000C2119"/>
    <w:rsid w:val="000C4823"/>
    <w:rsid w:val="000C4E0A"/>
    <w:rsid w:val="000C6351"/>
    <w:rsid w:val="000D65B8"/>
    <w:rsid w:val="000E0C82"/>
    <w:rsid w:val="000E5D96"/>
    <w:rsid w:val="000E60C6"/>
    <w:rsid w:val="000F5812"/>
    <w:rsid w:val="000F5A8D"/>
    <w:rsid w:val="0010270F"/>
    <w:rsid w:val="00103623"/>
    <w:rsid w:val="001129C7"/>
    <w:rsid w:val="001253AE"/>
    <w:rsid w:val="00126932"/>
    <w:rsid w:val="00133AEB"/>
    <w:rsid w:val="00133DE6"/>
    <w:rsid w:val="001421B6"/>
    <w:rsid w:val="00142D0C"/>
    <w:rsid w:val="001478F6"/>
    <w:rsid w:val="00153D31"/>
    <w:rsid w:val="00155B54"/>
    <w:rsid w:val="0016094C"/>
    <w:rsid w:val="00160A8E"/>
    <w:rsid w:val="001631AD"/>
    <w:rsid w:val="00163892"/>
    <w:rsid w:val="00171D30"/>
    <w:rsid w:val="00173881"/>
    <w:rsid w:val="00181B19"/>
    <w:rsid w:val="00182264"/>
    <w:rsid w:val="00192A31"/>
    <w:rsid w:val="0019393C"/>
    <w:rsid w:val="001A4BC2"/>
    <w:rsid w:val="001A7E8C"/>
    <w:rsid w:val="001B330A"/>
    <w:rsid w:val="001C14A1"/>
    <w:rsid w:val="001C707B"/>
    <w:rsid w:val="001D00D7"/>
    <w:rsid w:val="001D2C22"/>
    <w:rsid w:val="001D2EF7"/>
    <w:rsid w:val="001D3289"/>
    <w:rsid w:val="001E3748"/>
    <w:rsid w:val="001E6038"/>
    <w:rsid w:val="001F1E5F"/>
    <w:rsid w:val="001F7CFE"/>
    <w:rsid w:val="002124B0"/>
    <w:rsid w:val="0021695E"/>
    <w:rsid w:val="00223489"/>
    <w:rsid w:val="00240E2C"/>
    <w:rsid w:val="00241C88"/>
    <w:rsid w:val="002430FD"/>
    <w:rsid w:val="00243FA8"/>
    <w:rsid w:val="00245D8C"/>
    <w:rsid w:val="00267509"/>
    <w:rsid w:val="00267989"/>
    <w:rsid w:val="00281D2B"/>
    <w:rsid w:val="002834F9"/>
    <w:rsid w:val="00295B7C"/>
    <w:rsid w:val="00295F09"/>
    <w:rsid w:val="002962B7"/>
    <w:rsid w:val="0029630B"/>
    <w:rsid w:val="00296741"/>
    <w:rsid w:val="002A16CA"/>
    <w:rsid w:val="002A1CF3"/>
    <w:rsid w:val="002A47BD"/>
    <w:rsid w:val="002A76EE"/>
    <w:rsid w:val="002B0FB9"/>
    <w:rsid w:val="002C0063"/>
    <w:rsid w:val="002C20FF"/>
    <w:rsid w:val="002C3E5B"/>
    <w:rsid w:val="002C525E"/>
    <w:rsid w:val="002C5688"/>
    <w:rsid w:val="002C7903"/>
    <w:rsid w:val="002D2CF6"/>
    <w:rsid w:val="002D4DAD"/>
    <w:rsid w:val="002E1A6C"/>
    <w:rsid w:val="002E78FB"/>
    <w:rsid w:val="002F7D5F"/>
    <w:rsid w:val="00303708"/>
    <w:rsid w:val="003042EC"/>
    <w:rsid w:val="00314B5E"/>
    <w:rsid w:val="00315A92"/>
    <w:rsid w:val="003259E3"/>
    <w:rsid w:val="00326A4C"/>
    <w:rsid w:val="003317BE"/>
    <w:rsid w:val="003335FE"/>
    <w:rsid w:val="0033784A"/>
    <w:rsid w:val="003427F1"/>
    <w:rsid w:val="00344707"/>
    <w:rsid w:val="0035289E"/>
    <w:rsid w:val="0035336D"/>
    <w:rsid w:val="003612EF"/>
    <w:rsid w:val="00365138"/>
    <w:rsid w:val="00366DB0"/>
    <w:rsid w:val="003726C5"/>
    <w:rsid w:val="0038047D"/>
    <w:rsid w:val="00380F46"/>
    <w:rsid w:val="0038370B"/>
    <w:rsid w:val="00383A45"/>
    <w:rsid w:val="00390780"/>
    <w:rsid w:val="00391528"/>
    <w:rsid w:val="00396575"/>
    <w:rsid w:val="003A28CD"/>
    <w:rsid w:val="003A6732"/>
    <w:rsid w:val="003B1198"/>
    <w:rsid w:val="003B2E77"/>
    <w:rsid w:val="003B4BE5"/>
    <w:rsid w:val="003B56C0"/>
    <w:rsid w:val="003B6CCE"/>
    <w:rsid w:val="003D321E"/>
    <w:rsid w:val="003D687D"/>
    <w:rsid w:val="003D741C"/>
    <w:rsid w:val="003E64D8"/>
    <w:rsid w:val="003F12A9"/>
    <w:rsid w:val="003F47B0"/>
    <w:rsid w:val="00403D8F"/>
    <w:rsid w:val="004042E1"/>
    <w:rsid w:val="004053A9"/>
    <w:rsid w:val="004066EF"/>
    <w:rsid w:val="004166D6"/>
    <w:rsid w:val="00436E64"/>
    <w:rsid w:val="00437CB3"/>
    <w:rsid w:val="004407E8"/>
    <w:rsid w:val="004407EB"/>
    <w:rsid w:val="00453954"/>
    <w:rsid w:val="00460529"/>
    <w:rsid w:val="00461AE7"/>
    <w:rsid w:val="004726F1"/>
    <w:rsid w:val="004735F5"/>
    <w:rsid w:val="0047503F"/>
    <w:rsid w:val="00476531"/>
    <w:rsid w:val="00484A21"/>
    <w:rsid w:val="004913C7"/>
    <w:rsid w:val="00493167"/>
    <w:rsid w:val="00493EC8"/>
    <w:rsid w:val="0049626E"/>
    <w:rsid w:val="004969AC"/>
    <w:rsid w:val="004A1E30"/>
    <w:rsid w:val="004A5D99"/>
    <w:rsid w:val="004A7F97"/>
    <w:rsid w:val="004B0CC2"/>
    <w:rsid w:val="004B19A2"/>
    <w:rsid w:val="004B1ACE"/>
    <w:rsid w:val="004B2082"/>
    <w:rsid w:val="004B32D0"/>
    <w:rsid w:val="004B5574"/>
    <w:rsid w:val="004B66B7"/>
    <w:rsid w:val="004D1577"/>
    <w:rsid w:val="004D44AB"/>
    <w:rsid w:val="004D62DA"/>
    <w:rsid w:val="004D74D6"/>
    <w:rsid w:val="004E3FDA"/>
    <w:rsid w:val="004E7017"/>
    <w:rsid w:val="00500E9A"/>
    <w:rsid w:val="00503C21"/>
    <w:rsid w:val="005044BD"/>
    <w:rsid w:val="0050546D"/>
    <w:rsid w:val="00506536"/>
    <w:rsid w:val="005066D7"/>
    <w:rsid w:val="00507B40"/>
    <w:rsid w:val="005109AF"/>
    <w:rsid w:val="00510C0F"/>
    <w:rsid w:val="00520702"/>
    <w:rsid w:val="00522BA3"/>
    <w:rsid w:val="00524222"/>
    <w:rsid w:val="00544188"/>
    <w:rsid w:val="0055296A"/>
    <w:rsid w:val="00553B51"/>
    <w:rsid w:val="00557CAF"/>
    <w:rsid w:val="005604E4"/>
    <w:rsid w:val="00564E77"/>
    <w:rsid w:val="00570DB9"/>
    <w:rsid w:val="0058335B"/>
    <w:rsid w:val="005841E8"/>
    <w:rsid w:val="005910BC"/>
    <w:rsid w:val="0059722B"/>
    <w:rsid w:val="005A6294"/>
    <w:rsid w:val="005A6B3E"/>
    <w:rsid w:val="005B0639"/>
    <w:rsid w:val="005B13CA"/>
    <w:rsid w:val="005B6E7C"/>
    <w:rsid w:val="005C22B1"/>
    <w:rsid w:val="005C6702"/>
    <w:rsid w:val="005D0490"/>
    <w:rsid w:val="005D1298"/>
    <w:rsid w:val="005E4608"/>
    <w:rsid w:val="005E6372"/>
    <w:rsid w:val="005F4054"/>
    <w:rsid w:val="005F53F5"/>
    <w:rsid w:val="00602FD0"/>
    <w:rsid w:val="0060358F"/>
    <w:rsid w:val="00610A15"/>
    <w:rsid w:val="00616062"/>
    <w:rsid w:val="00617A3B"/>
    <w:rsid w:val="006231A0"/>
    <w:rsid w:val="00623E9A"/>
    <w:rsid w:val="006303CC"/>
    <w:rsid w:val="0063261D"/>
    <w:rsid w:val="00634533"/>
    <w:rsid w:val="0063487C"/>
    <w:rsid w:val="00644057"/>
    <w:rsid w:val="00644B9E"/>
    <w:rsid w:val="0065313C"/>
    <w:rsid w:val="00655AAE"/>
    <w:rsid w:val="00660672"/>
    <w:rsid w:val="00660CFD"/>
    <w:rsid w:val="00681EBA"/>
    <w:rsid w:val="00690485"/>
    <w:rsid w:val="00693AA5"/>
    <w:rsid w:val="00694351"/>
    <w:rsid w:val="006A3B9F"/>
    <w:rsid w:val="006A5858"/>
    <w:rsid w:val="006B157F"/>
    <w:rsid w:val="006B3DCB"/>
    <w:rsid w:val="006C54C4"/>
    <w:rsid w:val="006C77DF"/>
    <w:rsid w:val="006E6C0D"/>
    <w:rsid w:val="006F1D8A"/>
    <w:rsid w:val="00703901"/>
    <w:rsid w:val="00704AFD"/>
    <w:rsid w:val="00705463"/>
    <w:rsid w:val="00707DC1"/>
    <w:rsid w:val="00707F85"/>
    <w:rsid w:val="00715C0C"/>
    <w:rsid w:val="0072118B"/>
    <w:rsid w:val="00724344"/>
    <w:rsid w:val="00727950"/>
    <w:rsid w:val="00730424"/>
    <w:rsid w:val="00731A01"/>
    <w:rsid w:val="00736AC9"/>
    <w:rsid w:val="00737E79"/>
    <w:rsid w:val="0075190C"/>
    <w:rsid w:val="00762F38"/>
    <w:rsid w:val="00764397"/>
    <w:rsid w:val="00766ACB"/>
    <w:rsid w:val="00766FA7"/>
    <w:rsid w:val="007708EF"/>
    <w:rsid w:val="00776119"/>
    <w:rsid w:val="007762C2"/>
    <w:rsid w:val="007768E3"/>
    <w:rsid w:val="00792274"/>
    <w:rsid w:val="00793E38"/>
    <w:rsid w:val="007941E4"/>
    <w:rsid w:val="00795DDC"/>
    <w:rsid w:val="0079664A"/>
    <w:rsid w:val="007A0881"/>
    <w:rsid w:val="007A7175"/>
    <w:rsid w:val="007B39F0"/>
    <w:rsid w:val="007C4AE0"/>
    <w:rsid w:val="007C4F59"/>
    <w:rsid w:val="007C502B"/>
    <w:rsid w:val="007C60AD"/>
    <w:rsid w:val="007C614D"/>
    <w:rsid w:val="007C7101"/>
    <w:rsid w:val="007D0EF4"/>
    <w:rsid w:val="007D7948"/>
    <w:rsid w:val="007E1B30"/>
    <w:rsid w:val="007E3E7C"/>
    <w:rsid w:val="00803ABE"/>
    <w:rsid w:val="00805006"/>
    <w:rsid w:val="00805BD0"/>
    <w:rsid w:val="00807B35"/>
    <w:rsid w:val="008102C8"/>
    <w:rsid w:val="00811083"/>
    <w:rsid w:val="008111F9"/>
    <w:rsid w:val="00811D8D"/>
    <w:rsid w:val="008247B2"/>
    <w:rsid w:val="00827569"/>
    <w:rsid w:val="0082785F"/>
    <w:rsid w:val="00832985"/>
    <w:rsid w:val="008459A3"/>
    <w:rsid w:val="008467EE"/>
    <w:rsid w:val="00852133"/>
    <w:rsid w:val="00852FEE"/>
    <w:rsid w:val="00860CD9"/>
    <w:rsid w:val="00864F03"/>
    <w:rsid w:val="00873945"/>
    <w:rsid w:val="00880924"/>
    <w:rsid w:val="00883291"/>
    <w:rsid w:val="00890E5B"/>
    <w:rsid w:val="008911B6"/>
    <w:rsid w:val="008A591C"/>
    <w:rsid w:val="008A60FA"/>
    <w:rsid w:val="008A6A5E"/>
    <w:rsid w:val="008B38B8"/>
    <w:rsid w:val="008C53CD"/>
    <w:rsid w:val="008C5FAB"/>
    <w:rsid w:val="008D0AF9"/>
    <w:rsid w:val="008D1546"/>
    <w:rsid w:val="008D7B33"/>
    <w:rsid w:val="008E31CD"/>
    <w:rsid w:val="008F05AB"/>
    <w:rsid w:val="008F4ED9"/>
    <w:rsid w:val="00901B57"/>
    <w:rsid w:val="0090263C"/>
    <w:rsid w:val="00902E12"/>
    <w:rsid w:val="00905064"/>
    <w:rsid w:val="0090570C"/>
    <w:rsid w:val="00906835"/>
    <w:rsid w:val="00926BDE"/>
    <w:rsid w:val="00933745"/>
    <w:rsid w:val="00933D1B"/>
    <w:rsid w:val="00934B88"/>
    <w:rsid w:val="00936AEF"/>
    <w:rsid w:val="0094413F"/>
    <w:rsid w:val="00944978"/>
    <w:rsid w:val="00944B2B"/>
    <w:rsid w:val="00944E92"/>
    <w:rsid w:val="00945347"/>
    <w:rsid w:val="009571FF"/>
    <w:rsid w:val="00961D49"/>
    <w:rsid w:val="00971381"/>
    <w:rsid w:val="00973DA0"/>
    <w:rsid w:val="00975D98"/>
    <w:rsid w:val="009778B8"/>
    <w:rsid w:val="009810DE"/>
    <w:rsid w:val="00987658"/>
    <w:rsid w:val="009923D8"/>
    <w:rsid w:val="009A1B2A"/>
    <w:rsid w:val="009A78F1"/>
    <w:rsid w:val="009B174B"/>
    <w:rsid w:val="009B606D"/>
    <w:rsid w:val="009C7827"/>
    <w:rsid w:val="009D5E7B"/>
    <w:rsid w:val="00A006C0"/>
    <w:rsid w:val="00A0474B"/>
    <w:rsid w:val="00A06691"/>
    <w:rsid w:val="00A06F9B"/>
    <w:rsid w:val="00A07004"/>
    <w:rsid w:val="00A21A0A"/>
    <w:rsid w:val="00A32262"/>
    <w:rsid w:val="00A32F12"/>
    <w:rsid w:val="00A347AD"/>
    <w:rsid w:val="00A35FAA"/>
    <w:rsid w:val="00A36B46"/>
    <w:rsid w:val="00A402F7"/>
    <w:rsid w:val="00A403A9"/>
    <w:rsid w:val="00A45E8F"/>
    <w:rsid w:val="00A476E1"/>
    <w:rsid w:val="00A52AE6"/>
    <w:rsid w:val="00A559BA"/>
    <w:rsid w:val="00A56C09"/>
    <w:rsid w:val="00A56FF8"/>
    <w:rsid w:val="00A5708D"/>
    <w:rsid w:val="00A64BBA"/>
    <w:rsid w:val="00A666C5"/>
    <w:rsid w:val="00A67E5B"/>
    <w:rsid w:val="00A9469B"/>
    <w:rsid w:val="00AA019E"/>
    <w:rsid w:val="00AA0F30"/>
    <w:rsid w:val="00AA3377"/>
    <w:rsid w:val="00AA3B16"/>
    <w:rsid w:val="00AB1A9A"/>
    <w:rsid w:val="00AB593F"/>
    <w:rsid w:val="00AC252E"/>
    <w:rsid w:val="00AC4931"/>
    <w:rsid w:val="00AC4EB6"/>
    <w:rsid w:val="00AD6ADC"/>
    <w:rsid w:val="00AD7A2F"/>
    <w:rsid w:val="00AE0287"/>
    <w:rsid w:val="00AE1E7B"/>
    <w:rsid w:val="00AE214B"/>
    <w:rsid w:val="00AE7139"/>
    <w:rsid w:val="00AF0C0C"/>
    <w:rsid w:val="00AF14A2"/>
    <w:rsid w:val="00AF3E59"/>
    <w:rsid w:val="00B03E30"/>
    <w:rsid w:val="00B16109"/>
    <w:rsid w:val="00B17F04"/>
    <w:rsid w:val="00B23110"/>
    <w:rsid w:val="00B30C74"/>
    <w:rsid w:val="00B356AB"/>
    <w:rsid w:val="00B41E5D"/>
    <w:rsid w:val="00B42BE9"/>
    <w:rsid w:val="00B45649"/>
    <w:rsid w:val="00B4636F"/>
    <w:rsid w:val="00B501E6"/>
    <w:rsid w:val="00B61F35"/>
    <w:rsid w:val="00B65BC0"/>
    <w:rsid w:val="00B67C41"/>
    <w:rsid w:val="00B75177"/>
    <w:rsid w:val="00B758B5"/>
    <w:rsid w:val="00B8086E"/>
    <w:rsid w:val="00B93E88"/>
    <w:rsid w:val="00B95BAE"/>
    <w:rsid w:val="00BA0EB5"/>
    <w:rsid w:val="00BA1BE8"/>
    <w:rsid w:val="00BA28D1"/>
    <w:rsid w:val="00BB4D1E"/>
    <w:rsid w:val="00BB7993"/>
    <w:rsid w:val="00BC194D"/>
    <w:rsid w:val="00BC370C"/>
    <w:rsid w:val="00BC37C8"/>
    <w:rsid w:val="00BC4A9F"/>
    <w:rsid w:val="00BC6283"/>
    <w:rsid w:val="00BC7650"/>
    <w:rsid w:val="00BC7CDD"/>
    <w:rsid w:val="00BD6700"/>
    <w:rsid w:val="00BD70D0"/>
    <w:rsid w:val="00BE34BF"/>
    <w:rsid w:val="00BE34C9"/>
    <w:rsid w:val="00BE3648"/>
    <w:rsid w:val="00BE4E8A"/>
    <w:rsid w:val="00BF091D"/>
    <w:rsid w:val="00BF3244"/>
    <w:rsid w:val="00BF4873"/>
    <w:rsid w:val="00C00AD4"/>
    <w:rsid w:val="00C14988"/>
    <w:rsid w:val="00C1694E"/>
    <w:rsid w:val="00C23628"/>
    <w:rsid w:val="00C2386B"/>
    <w:rsid w:val="00C27B99"/>
    <w:rsid w:val="00C30456"/>
    <w:rsid w:val="00C31F8C"/>
    <w:rsid w:val="00C32BB6"/>
    <w:rsid w:val="00C34B9E"/>
    <w:rsid w:val="00C352F7"/>
    <w:rsid w:val="00C44A74"/>
    <w:rsid w:val="00C45422"/>
    <w:rsid w:val="00C51B84"/>
    <w:rsid w:val="00C5336E"/>
    <w:rsid w:val="00C557D3"/>
    <w:rsid w:val="00C56B7A"/>
    <w:rsid w:val="00C56E04"/>
    <w:rsid w:val="00C65F74"/>
    <w:rsid w:val="00C74640"/>
    <w:rsid w:val="00C7792E"/>
    <w:rsid w:val="00C81612"/>
    <w:rsid w:val="00C84093"/>
    <w:rsid w:val="00C91688"/>
    <w:rsid w:val="00CA1DDD"/>
    <w:rsid w:val="00CA2363"/>
    <w:rsid w:val="00CA36A8"/>
    <w:rsid w:val="00CA3CBE"/>
    <w:rsid w:val="00CA4AA2"/>
    <w:rsid w:val="00CB06F2"/>
    <w:rsid w:val="00CB070B"/>
    <w:rsid w:val="00CB28AC"/>
    <w:rsid w:val="00CB3E1B"/>
    <w:rsid w:val="00CB792E"/>
    <w:rsid w:val="00CC51FB"/>
    <w:rsid w:val="00CC5731"/>
    <w:rsid w:val="00CC5784"/>
    <w:rsid w:val="00CC628F"/>
    <w:rsid w:val="00CD414F"/>
    <w:rsid w:val="00CD44F5"/>
    <w:rsid w:val="00CD7784"/>
    <w:rsid w:val="00CE1E36"/>
    <w:rsid w:val="00CE2281"/>
    <w:rsid w:val="00CF5FA1"/>
    <w:rsid w:val="00D00120"/>
    <w:rsid w:val="00D0249F"/>
    <w:rsid w:val="00D12B54"/>
    <w:rsid w:val="00D146D3"/>
    <w:rsid w:val="00D219F3"/>
    <w:rsid w:val="00D21B8D"/>
    <w:rsid w:val="00D233FD"/>
    <w:rsid w:val="00D24F74"/>
    <w:rsid w:val="00D25D22"/>
    <w:rsid w:val="00D3105E"/>
    <w:rsid w:val="00D340B2"/>
    <w:rsid w:val="00D35D5A"/>
    <w:rsid w:val="00D41741"/>
    <w:rsid w:val="00D42A91"/>
    <w:rsid w:val="00D51A3A"/>
    <w:rsid w:val="00D54C92"/>
    <w:rsid w:val="00D56AFA"/>
    <w:rsid w:val="00D6060A"/>
    <w:rsid w:val="00D63857"/>
    <w:rsid w:val="00D71FB8"/>
    <w:rsid w:val="00D75535"/>
    <w:rsid w:val="00D75D43"/>
    <w:rsid w:val="00D85C19"/>
    <w:rsid w:val="00D90478"/>
    <w:rsid w:val="00D90D63"/>
    <w:rsid w:val="00D91C0B"/>
    <w:rsid w:val="00D91D13"/>
    <w:rsid w:val="00D945D5"/>
    <w:rsid w:val="00D96B96"/>
    <w:rsid w:val="00DA73E3"/>
    <w:rsid w:val="00DB3E8E"/>
    <w:rsid w:val="00DC5069"/>
    <w:rsid w:val="00DD4938"/>
    <w:rsid w:val="00DD4D11"/>
    <w:rsid w:val="00DD4D1C"/>
    <w:rsid w:val="00DD5313"/>
    <w:rsid w:val="00DD6146"/>
    <w:rsid w:val="00DE037A"/>
    <w:rsid w:val="00DF3085"/>
    <w:rsid w:val="00E00B79"/>
    <w:rsid w:val="00E01562"/>
    <w:rsid w:val="00E0703D"/>
    <w:rsid w:val="00E1650B"/>
    <w:rsid w:val="00E166A7"/>
    <w:rsid w:val="00E27030"/>
    <w:rsid w:val="00E273F4"/>
    <w:rsid w:val="00E328A5"/>
    <w:rsid w:val="00E3707C"/>
    <w:rsid w:val="00E377F6"/>
    <w:rsid w:val="00E40D38"/>
    <w:rsid w:val="00E41832"/>
    <w:rsid w:val="00E4446C"/>
    <w:rsid w:val="00E54199"/>
    <w:rsid w:val="00E5483C"/>
    <w:rsid w:val="00E71797"/>
    <w:rsid w:val="00E75F72"/>
    <w:rsid w:val="00E9204A"/>
    <w:rsid w:val="00EA34AA"/>
    <w:rsid w:val="00EA6F64"/>
    <w:rsid w:val="00EA7C11"/>
    <w:rsid w:val="00EB3831"/>
    <w:rsid w:val="00EB5397"/>
    <w:rsid w:val="00EB5CB1"/>
    <w:rsid w:val="00EC0BE6"/>
    <w:rsid w:val="00EC49AC"/>
    <w:rsid w:val="00EC55D7"/>
    <w:rsid w:val="00EC703B"/>
    <w:rsid w:val="00ED3C61"/>
    <w:rsid w:val="00ED5971"/>
    <w:rsid w:val="00EE3826"/>
    <w:rsid w:val="00EE4777"/>
    <w:rsid w:val="00EF44D7"/>
    <w:rsid w:val="00F00704"/>
    <w:rsid w:val="00F00A63"/>
    <w:rsid w:val="00F01190"/>
    <w:rsid w:val="00F06DE8"/>
    <w:rsid w:val="00F06DF5"/>
    <w:rsid w:val="00F1542E"/>
    <w:rsid w:val="00F21B05"/>
    <w:rsid w:val="00F22F3D"/>
    <w:rsid w:val="00F34A4A"/>
    <w:rsid w:val="00F507C0"/>
    <w:rsid w:val="00F5439A"/>
    <w:rsid w:val="00F61312"/>
    <w:rsid w:val="00F61423"/>
    <w:rsid w:val="00F61FDC"/>
    <w:rsid w:val="00F6429E"/>
    <w:rsid w:val="00F67DB5"/>
    <w:rsid w:val="00F73587"/>
    <w:rsid w:val="00F77F68"/>
    <w:rsid w:val="00F80A82"/>
    <w:rsid w:val="00F80CCC"/>
    <w:rsid w:val="00F92EF7"/>
    <w:rsid w:val="00F95246"/>
    <w:rsid w:val="00F976FE"/>
    <w:rsid w:val="00FA2F96"/>
    <w:rsid w:val="00FB5080"/>
    <w:rsid w:val="00FC486B"/>
    <w:rsid w:val="00FC6405"/>
    <w:rsid w:val="00FD72E7"/>
    <w:rsid w:val="00FE003A"/>
    <w:rsid w:val="00FE279D"/>
    <w:rsid w:val="00FE3819"/>
    <w:rsid w:val="00FE630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AD3D53"/>
  <w15:chartTrackingRefBased/>
  <w15:docId w15:val="{2E8179E1-022A-4653-B0AE-73558DB73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AE6"/>
    <w:pPr>
      <w:spacing w:after="0" w:line="240" w:lineRule="auto"/>
    </w:pPr>
    <w:rPr>
      <w:rFonts w:ascii="Calibri" w:eastAsia="Times New Roman" w:hAnsi="Calibri" w:cs="Times New Roman"/>
      <w:sz w:val="24"/>
      <w:szCs w:val="24"/>
    </w:rPr>
  </w:style>
  <w:style w:type="paragraph" w:styleId="Ttulo2">
    <w:name w:val="heading 2"/>
    <w:basedOn w:val="Normal"/>
    <w:next w:val="Normal"/>
    <w:link w:val="Ttulo2Car"/>
    <w:uiPriority w:val="9"/>
    <w:unhideWhenUsed/>
    <w:qFormat/>
    <w:rsid w:val="00A52AE6"/>
    <w:pPr>
      <w:keepNext/>
      <w:spacing w:before="240" w:after="60"/>
      <w:outlineLvl w:val="1"/>
    </w:pPr>
    <w:rPr>
      <w:rFonts w:ascii="Calibri Light" w:hAnsi="Calibri Light"/>
      <w:b/>
      <w:bCs/>
      <w:i/>
      <w:iCs/>
      <w:sz w:val="28"/>
      <w:szCs w:val="28"/>
    </w:rPr>
  </w:style>
  <w:style w:type="paragraph" w:styleId="Ttulo4">
    <w:name w:val="heading 4"/>
    <w:basedOn w:val="Normal"/>
    <w:next w:val="Normal"/>
    <w:link w:val="Ttulo4Car"/>
    <w:uiPriority w:val="9"/>
    <w:unhideWhenUsed/>
    <w:qFormat/>
    <w:rsid w:val="00766ACB"/>
    <w:pPr>
      <w:keepNext/>
      <w:keepLines/>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520702"/>
    <w:pPr>
      <w:keepNext/>
      <w:keepLines/>
      <w:spacing w:before="4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52AE6"/>
    <w:rPr>
      <w:rFonts w:ascii="Calibri Light" w:eastAsia="Times New Roman" w:hAnsi="Calibri Light" w:cs="Times New Roman"/>
      <w:b/>
      <w:bCs/>
      <w:i/>
      <w:iCs/>
      <w:sz w:val="28"/>
      <w:szCs w:val="28"/>
    </w:rPr>
  </w:style>
  <w:style w:type="paragraph" w:styleId="Piedepgina">
    <w:name w:val="footer"/>
    <w:basedOn w:val="Normal"/>
    <w:link w:val="PiedepginaCar"/>
    <w:uiPriority w:val="99"/>
    <w:rsid w:val="00A52AE6"/>
    <w:pPr>
      <w:tabs>
        <w:tab w:val="center" w:pos="4252"/>
        <w:tab w:val="right" w:pos="8504"/>
      </w:tabs>
    </w:pPr>
    <w:rPr>
      <w:lang w:eastAsia="x-none"/>
    </w:rPr>
  </w:style>
  <w:style w:type="character" w:customStyle="1" w:styleId="PiedepginaCar">
    <w:name w:val="Pie de página Car"/>
    <w:basedOn w:val="Fuentedeprrafopredeter"/>
    <w:link w:val="Piedepgina"/>
    <w:uiPriority w:val="99"/>
    <w:rsid w:val="00A52AE6"/>
    <w:rPr>
      <w:rFonts w:ascii="Calibri" w:eastAsia="Times New Roman" w:hAnsi="Calibri" w:cs="Times New Roman"/>
      <w:sz w:val="24"/>
      <w:szCs w:val="24"/>
      <w:lang w:eastAsia="x-none"/>
    </w:rPr>
  </w:style>
  <w:style w:type="character" w:styleId="Hipervnculo">
    <w:name w:val="Hyperlink"/>
    <w:uiPriority w:val="99"/>
    <w:rsid w:val="00A52AE6"/>
    <w:rPr>
      <w:color w:val="0000FF"/>
      <w:u w:val="single"/>
    </w:rPr>
  </w:style>
  <w:style w:type="paragraph" w:styleId="Prrafodelista">
    <w:name w:val="List Paragraph"/>
    <w:aliases w:val="Párrafo,Numbered Paragraph,Bullets,titulo 3,List Paragraph,BOLADEF,BOLA,Párrafo de lista21,Guión,Titulo 8,HOJA,Chulito,MIBEX B,TITULO1REQ,Párrafo de lista31,ViÃ±eta 2,Párrafo de lista5,TITULO 1,Normal1"/>
    <w:basedOn w:val="Normal"/>
    <w:link w:val="PrrafodelistaCar"/>
    <w:uiPriority w:val="34"/>
    <w:qFormat/>
    <w:rsid w:val="00A52AE6"/>
    <w:pPr>
      <w:ind w:left="720"/>
      <w:contextualSpacing/>
    </w:pPr>
  </w:style>
  <w:style w:type="character" w:styleId="Refdenotaalpie">
    <w:name w:val="footnote reference"/>
    <w:aliases w:val="Ref. de nota al pie 2,Texto de nota al pie,Footnotes refss,Appel note de bas de page,referencia nota al pie,Pie de Página,FC,Nota de pie,Texto nota al pie,Ref,de nota al pie,Ref1,Footnote number,BVI fnr,f,Fago Fußnotenzeichen,4_G,F,4"/>
    <w:link w:val="4GChar"/>
    <w:uiPriority w:val="99"/>
    <w:qFormat/>
    <w:rsid w:val="00A52AE6"/>
    <w:rPr>
      <w:rFonts w:cs="Times New Roman"/>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A52AE6"/>
    <w:pPr>
      <w:jc w:val="both"/>
    </w:pPr>
    <w:rPr>
      <w:rFonts w:asciiTheme="minorHAnsi" w:eastAsiaTheme="minorHAnsi" w:hAnsiTheme="minorHAnsi"/>
      <w:sz w:val="22"/>
      <w:szCs w:val="22"/>
      <w:vertAlign w:val="superscript"/>
    </w:rPr>
  </w:style>
  <w:style w:type="paragraph" w:styleId="Textonotapie">
    <w:name w:val="footnote text"/>
    <w:aliases w:val="Footnote Text Char Char Char Char Char,Footnote Text Char Char Char Char,Footnote reference,FA Fu,texto de nota al pie,Footnote Text Char,Footnote Text Char Char Char Char Char Char Char Char,MI NOTA PIE DE PÁGINA (TEXTO),Texto nota pie C"/>
    <w:basedOn w:val="Normal"/>
    <w:link w:val="TextonotapieCar"/>
    <w:qFormat/>
    <w:rsid w:val="00A52AE6"/>
    <w:pPr>
      <w:overflowPunct w:val="0"/>
      <w:autoSpaceDE w:val="0"/>
      <w:autoSpaceDN w:val="0"/>
      <w:adjustRightInd w:val="0"/>
      <w:textAlignment w:val="baseline"/>
    </w:pPr>
    <w:rPr>
      <w:rFonts w:ascii="Times New Roman" w:hAnsi="Times New Roman"/>
      <w:sz w:val="20"/>
      <w:szCs w:val="20"/>
      <w:lang w:eastAsia="es-ES"/>
    </w:rPr>
  </w:style>
  <w:style w:type="character" w:customStyle="1" w:styleId="TextonotapieCar">
    <w:name w:val="Texto nota pie Car"/>
    <w:aliases w:val="Footnote Text Char Char Char Char Char Car,Footnote Text Char Char Char Char Car,Footnote reference Car,FA Fu Car,texto de nota al pie Car,Footnote Text Char Car,Footnote Text Char Char Char Char Char Char Char Char Car"/>
    <w:basedOn w:val="Fuentedeprrafopredeter"/>
    <w:link w:val="Textonotapie"/>
    <w:qFormat/>
    <w:rsid w:val="00A52AE6"/>
    <w:rPr>
      <w:rFonts w:ascii="Times New Roman" w:eastAsia="Times New Roman" w:hAnsi="Times New Roman" w:cs="Times New Roman"/>
      <w:sz w:val="20"/>
      <w:szCs w:val="20"/>
      <w:lang w:eastAsia="es-ES"/>
    </w:rPr>
  </w:style>
  <w:style w:type="paragraph" w:styleId="NormalWeb">
    <w:name w:val="Normal (Web)"/>
    <w:basedOn w:val="Normal"/>
    <w:link w:val="NormalWebCar"/>
    <w:uiPriority w:val="99"/>
    <w:unhideWhenUsed/>
    <w:rsid w:val="00A52AE6"/>
    <w:pPr>
      <w:spacing w:before="100" w:beforeAutospacing="1" w:after="100" w:afterAutospacing="1"/>
    </w:pPr>
    <w:rPr>
      <w:rFonts w:ascii="Times New Roman" w:hAnsi="Times New Roman"/>
      <w:lang w:eastAsia="es-CO"/>
    </w:rPr>
  </w:style>
  <w:style w:type="character" w:customStyle="1" w:styleId="baj">
    <w:name w:val="b_aj"/>
    <w:basedOn w:val="Fuentedeprrafopredeter"/>
    <w:rsid w:val="00A52AE6"/>
  </w:style>
  <w:style w:type="character" w:styleId="Textoennegrita">
    <w:name w:val="Strong"/>
    <w:basedOn w:val="Fuentedeprrafopredeter"/>
    <w:uiPriority w:val="22"/>
    <w:qFormat/>
    <w:rsid w:val="00A52AE6"/>
    <w:rPr>
      <w:b/>
      <w:bCs/>
    </w:rPr>
  </w:style>
  <w:style w:type="character" w:styleId="nfasis">
    <w:name w:val="Emphasis"/>
    <w:basedOn w:val="Fuentedeprrafopredeter"/>
    <w:uiPriority w:val="20"/>
    <w:qFormat/>
    <w:rsid w:val="00A52AE6"/>
    <w:rPr>
      <w:i/>
      <w:iCs/>
    </w:rPr>
  </w:style>
  <w:style w:type="paragraph" w:customStyle="1" w:styleId="Textoindependiente21">
    <w:name w:val="Texto independiente 21"/>
    <w:basedOn w:val="Normal"/>
    <w:rsid w:val="00A52AE6"/>
    <w:pPr>
      <w:spacing w:before="240"/>
      <w:jc w:val="both"/>
    </w:pPr>
    <w:rPr>
      <w:rFonts w:ascii="Arial" w:hAnsi="Arial"/>
      <w:sz w:val="28"/>
      <w:szCs w:val="20"/>
      <w:lang w:val="es-ES" w:eastAsia="es-ES"/>
    </w:rPr>
  </w:style>
  <w:style w:type="character" w:customStyle="1" w:styleId="NormalWebCar">
    <w:name w:val="Normal (Web) Car"/>
    <w:link w:val="NormalWeb"/>
    <w:uiPriority w:val="99"/>
    <w:locked/>
    <w:rsid w:val="00A52AE6"/>
    <w:rPr>
      <w:rFonts w:ascii="Times New Roman" w:eastAsia="Times New Roman" w:hAnsi="Times New Roman" w:cs="Times New Roman"/>
      <w:sz w:val="24"/>
      <w:szCs w:val="24"/>
      <w:lang w:eastAsia="es-CO"/>
    </w:rPr>
  </w:style>
  <w:style w:type="character" w:customStyle="1" w:styleId="PrrafodelistaCar">
    <w:name w:val="Párrafo de lista Car"/>
    <w:aliases w:val="Párrafo Car,Numbered Paragraph Car,Bullets Car,titulo 3 Car,List Paragraph Car,BOLADEF Car,BOLA Car,Párrafo de lista21 Car,Guión Car,Titulo 8 Car,HOJA Car,Chulito Car,MIBEX B Car,TITULO1REQ Car,Párrafo de lista31 Car,ViÃ±eta 2 Car"/>
    <w:link w:val="Prrafodelista"/>
    <w:uiPriority w:val="34"/>
    <w:locked/>
    <w:rsid w:val="00A52AE6"/>
    <w:rPr>
      <w:rFonts w:ascii="Calibri" w:eastAsia="Times New Roman" w:hAnsi="Calibri" w:cs="Times New Roman"/>
      <w:sz w:val="24"/>
      <w:szCs w:val="24"/>
    </w:rPr>
  </w:style>
  <w:style w:type="character" w:customStyle="1" w:styleId="spelle">
    <w:name w:val="spelle"/>
    <w:basedOn w:val="Fuentedeprrafopredeter"/>
    <w:rsid w:val="00A52AE6"/>
  </w:style>
  <w:style w:type="character" w:styleId="Mencinsinresolver">
    <w:name w:val="Unresolved Mention"/>
    <w:basedOn w:val="Fuentedeprrafopredeter"/>
    <w:uiPriority w:val="99"/>
    <w:semiHidden/>
    <w:unhideWhenUsed/>
    <w:rsid w:val="0063261D"/>
    <w:rPr>
      <w:color w:val="605E5C"/>
      <w:shd w:val="clear" w:color="auto" w:fill="E1DFDD"/>
    </w:rPr>
  </w:style>
  <w:style w:type="character" w:customStyle="1" w:styleId="Ttulo4Car">
    <w:name w:val="Título 4 Car"/>
    <w:basedOn w:val="Fuentedeprrafopredeter"/>
    <w:link w:val="Ttulo4"/>
    <w:uiPriority w:val="9"/>
    <w:rsid w:val="00766ACB"/>
    <w:rPr>
      <w:rFonts w:asciiTheme="majorHAnsi" w:eastAsiaTheme="majorEastAsia" w:hAnsiTheme="majorHAnsi" w:cstheme="majorBidi"/>
      <w:i/>
      <w:iCs/>
      <w:color w:val="2F5496" w:themeColor="accent1" w:themeShade="BF"/>
      <w:sz w:val="24"/>
      <w:szCs w:val="24"/>
    </w:rPr>
  </w:style>
  <w:style w:type="character" w:customStyle="1" w:styleId="Ttulo5Car">
    <w:name w:val="Título 5 Car"/>
    <w:basedOn w:val="Fuentedeprrafopredeter"/>
    <w:link w:val="Ttulo5"/>
    <w:uiPriority w:val="9"/>
    <w:semiHidden/>
    <w:rsid w:val="00520702"/>
    <w:rPr>
      <w:rFonts w:asciiTheme="majorHAnsi" w:eastAsiaTheme="majorEastAsia" w:hAnsiTheme="majorHAnsi" w:cstheme="majorBidi"/>
      <w:color w:val="2F5496" w:themeColor="accent1" w:themeShade="BF"/>
      <w:sz w:val="24"/>
      <w:szCs w:val="24"/>
    </w:rPr>
  </w:style>
  <w:style w:type="paragraph" w:styleId="Revisin">
    <w:name w:val="Revision"/>
    <w:hidden/>
    <w:uiPriority w:val="99"/>
    <w:semiHidden/>
    <w:rsid w:val="002F7D5F"/>
    <w:pPr>
      <w:spacing w:after="0" w:line="240" w:lineRule="auto"/>
    </w:pPr>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160732">
      <w:bodyDiv w:val="1"/>
      <w:marLeft w:val="0"/>
      <w:marRight w:val="0"/>
      <w:marTop w:val="0"/>
      <w:marBottom w:val="0"/>
      <w:divBdr>
        <w:top w:val="none" w:sz="0" w:space="0" w:color="auto"/>
        <w:left w:val="none" w:sz="0" w:space="0" w:color="auto"/>
        <w:bottom w:val="none" w:sz="0" w:space="0" w:color="auto"/>
        <w:right w:val="none" w:sz="0" w:space="0" w:color="auto"/>
      </w:divBdr>
    </w:div>
    <w:div w:id="407771356">
      <w:bodyDiv w:val="1"/>
      <w:marLeft w:val="0"/>
      <w:marRight w:val="0"/>
      <w:marTop w:val="0"/>
      <w:marBottom w:val="0"/>
      <w:divBdr>
        <w:top w:val="none" w:sz="0" w:space="0" w:color="auto"/>
        <w:left w:val="none" w:sz="0" w:space="0" w:color="auto"/>
        <w:bottom w:val="none" w:sz="0" w:space="0" w:color="auto"/>
        <w:right w:val="none" w:sz="0" w:space="0" w:color="auto"/>
      </w:divBdr>
    </w:div>
    <w:div w:id="1459450712">
      <w:bodyDiv w:val="1"/>
      <w:marLeft w:val="0"/>
      <w:marRight w:val="0"/>
      <w:marTop w:val="0"/>
      <w:marBottom w:val="0"/>
      <w:divBdr>
        <w:top w:val="none" w:sz="0" w:space="0" w:color="auto"/>
        <w:left w:val="none" w:sz="0" w:space="0" w:color="auto"/>
        <w:bottom w:val="none" w:sz="0" w:space="0" w:color="auto"/>
        <w:right w:val="none" w:sz="0" w:space="0" w:color="auto"/>
      </w:divBdr>
      <w:divsChild>
        <w:div w:id="596521099">
          <w:marLeft w:val="-225"/>
          <w:marRight w:val="-225"/>
          <w:marTop w:val="0"/>
          <w:marBottom w:val="0"/>
          <w:divBdr>
            <w:top w:val="none" w:sz="0" w:space="0" w:color="auto"/>
            <w:left w:val="none" w:sz="0" w:space="0" w:color="auto"/>
            <w:bottom w:val="none" w:sz="0" w:space="0" w:color="auto"/>
            <w:right w:val="none" w:sz="0" w:space="0" w:color="auto"/>
          </w:divBdr>
          <w:divsChild>
            <w:div w:id="1473213979">
              <w:marLeft w:val="0"/>
              <w:marRight w:val="0"/>
              <w:marTop w:val="0"/>
              <w:marBottom w:val="0"/>
              <w:divBdr>
                <w:top w:val="none" w:sz="0" w:space="0" w:color="auto"/>
                <w:left w:val="none" w:sz="0" w:space="0" w:color="auto"/>
                <w:bottom w:val="none" w:sz="0" w:space="0" w:color="auto"/>
                <w:right w:val="none" w:sz="0" w:space="0" w:color="auto"/>
              </w:divBdr>
              <w:divsChild>
                <w:div w:id="811168645">
                  <w:marLeft w:val="0"/>
                  <w:marRight w:val="0"/>
                  <w:marTop w:val="0"/>
                  <w:marBottom w:val="0"/>
                  <w:divBdr>
                    <w:top w:val="none" w:sz="0" w:space="0" w:color="auto"/>
                    <w:left w:val="none" w:sz="0" w:space="0" w:color="auto"/>
                    <w:bottom w:val="none" w:sz="0" w:space="0" w:color="auto"/>
                    <w:right w:val="none" w:sz="0" w:space="0" w:color="auto"/>
                  </w:divBdr>
                  <w:divsChild>
                    <w:div w:id="364864257">
                      <w:marLeft w:val="0"/>
                      <w:marRight w:val="0"/>
                      <w:marTop w:val="0"/>
                      <w:marBottom w:val="0"/>
                      <w:divBdr>
                        <w:top w:val="none" w:sz="0" w:space="0" w:color="auto"/>
                        <w:left w:val="none" w:sz="0" w:space="0" w:color="auto"/>
                        <w:bottom w:val="none" w:sz="0" w:space="0" w:color="auto"/>
                        <w:right w:val="none" w:sz="0" w:space="0" w:color="auto"/>
                      </w:divBdr>
                    </w:div>
                  </w:divsChild>
                </w:div>
                <w:div w:id="425155820">
                  <w:marLeft w:val="0"/>
                  <w:marRight w:val="0"/>
                  <w:marTop w:val="0"/>
                  <w:marBottom w:val="0"/>
                  <w:divBdr>
                    <w:top w:val="none" w:sz="0" w:space="0" w:color="auto"/>
                    <w:left w:val="none" w:sz="0" w:space="0" w:color="auto"/>
                    <w:bottom w:val="none" w:sz="0" w:space="0" w:color="auto"/>
                    <w:right w:val="none" w:sz="0" w:space="0" w:color="auto"/>
                  </w:divBdr>
                  <w:divsChild>
                    <w:div w:id="1574899870">
                      <w:marLeft w:val="0"/>
                      <w:marRight w:val="0"/>
                      <w:marTop w:val="0"/>
                      <w:marBottom w:val="0"/>
                      <w:divBdr>
                        <w:top w:val="none" w:sz="0" w:space="0" w:color="auto"/>
                        <w:left w:val="none" w:sz="0" w:space="0" w:color="auto"/>
                        <w:bottom w:val="none" w:sz="0" w:space="0" w:color="auto"/>
                        <w:right w:val="none" w:sz="0" w:space="0" w:color="auto"/>
                      </w:divBdr>
                    </w:div>
                  </w:divsChild>
                </w:div>
                <w:div w:id="1659915502">
                  <w:marLeft w:val="0"/>
                  <w:marRight w:val="0"/>
                  <w:marTop w:val="0"/>
                  <w:marBottom w:val="0"/>
                  <w:divBdr>
                    <w:top w:val="none" w:sz="0" w:space="0" w:color="auto"/>
                    <w:left w:val="none" w:sz="0" w:space="0" w:color="auto"/>
                    <w:bottom w:val="none" w:sz="0" w:space="0" w:color="auto"/>
                    <w:right w:val="none" w:sz="0" w:space="0" w:color="auto"/>
                  </w:divBdr>
                  <w:divsChild>
                    <w:div w:id="177084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436137">
      <w:bodyDiv w:val="1"/>
      <w:marLeft w:val="0"/>
      <w:marRight w:val="0"/>
      <w:marTop w:val="0"/>
      <w:marBottom w:val="0"/>
      <w:divBdr>
        <w:top w:val="none" w:sz="0" w:space="0" w:color="auto"/>
        <w:left w:val="none" w:sz="0" w:space="0" w:color="auto"/>
        <w:bottom w:val="none" w:sz="0" w:space="0" w:color="auto"/>
        <w:right w:val="none" w:sz="0" w:space="0" w:color="auto"/>
      </w:divBdr>
    </w:div>
    <w:div w:id="1696540056">
      <w:bodyDiv w:val="1"/>
      <w:marLeft w:val="0"/>
      <w:marRight w:val="0"/>
      <w:marTop w:val="0"/>
      <w:marBottom w:val="0"/>
      <w:divBdr>
        <w:top w:val="none" w:sz="0" w:space="0" w:color="auto"/>
        <w:left w:val="none" w:sz="0" w:space="0" w:color="auto"/>
        <w:bottom w:val="none" w:sz="0" w:space="0" w:color="auto"/>
        <w:right w:val="none" w:sz="0" w:space="0" w:color="auto"/>
      </w:divBdr>
    </w:div>
    <w:div w:id="191970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yanez@animalesbog.gov.c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murillo@shd.gov.c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pazos@shd.gov.co" TargetMode="External"/><Relationship Id="rId4" Type="http://schemas.openxmlformats.org/officeDocument/2006/relationships/settings" Target="settings.xml"/><Relationship Id="rId9" Type="http://schemas.openxmlformats.org/officeDocument/2006/relationships/hyperlink" Target="http://www.secretariasenado.gov.co/senado/basedoc/decreto_0111_1996_pr002.html"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haciendabogota.gov.co" TargetMode="External"/><Relationship Id="rId1" Type="http://schemas.openxmlformats.org/officeDocument/2006/relationships/hyperlink" Target="http://www.haciendabogota.gov.co"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funcionpublica.gov.co/eva/gestornormativo/norma.php?i=4125" TargetMode="External"/><Relationship Id="rId2" Type="http://schemas.openxmlformats.org/officeDocument/2006/relationships/hyperlink" Target="https://www.funcionpublica.gov.co/eva/gestornormativo/norma.php?i=4125" TargetMode="External"/><Relationship Id="rId1" Type="http://schemas.openxmlformats.org/officeDocument/2006/relationships/hyperlink" Target="https://www.funcionpublica.gov.co/eva/gestornormativo/norma.php?i=412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42E73-4047-45CF-897A-0FDAF6258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2984</Words>
  <Characters>16416</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Murillo Herrera</dc:creator>
  <cp:keywords/>
  <dc:description/>
  <cp:lastModifiedBy>Leonardo Arturo Pazos Galindo</cp:lastModifiedBy>
  <cp:revision>4</cp:revision>
  <dcterms:created xsi:type="dcterms:W3CDTF">2022-10-04T04:28:00Z</dcterms:created>
  <dcterms:modified xsi:type="dcterms:W3CDTF">2022-10-04T04:32:00Z</dcterms:modified>
</cp:coreProperties>
</file>