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D55C" w14:textId="77777777" w:rsidR="00A014E9" w:rsidRPr="00A014E9" w:rsidRDefault="00A014E9" w:rsidP="00A014E9">
      <w:pPr>
        <w:ind w:left="-5" w:hanging="10"/>
        <w:jc w:val="both"/>
        <w:rPr>
          <w:rFonts w:ascii="Arial" w:hAnsi="Arial" w:cs="Arial"/>
          <w:sz w:val="24"/>
          <w:szCs w:val="24"/>
          <w:lang w:val="es-CO" w:eastAsia="es-CO"/>
        </w:rPr>
      </w:pPr>
      <w:r w:rsidRPr="00A014E9">
        <w:rPr>
          <w:rFonts w:ascii="Arial" w:hAnsi="Arial" w:cs="Arial"/>
          <w:sz w:val="24"/>
          <w:szCs w:val="24"/>
          <w:lang w:val="es-CO" w:eastAsia="es-CO"/>
        </w:rPr>
        <w:t xml:space="preserve">Bogotá, D. C.  </w:t>
      </w:r>
    </w:p>
    <w:p w14:paraId="34B3F26E" w14:textId="77777777" w:rsidR="00A014E9" w:rsidRPr="00A014E9" w:rsidRDefault="00A014E9" w:rsidP="00A014E9">
      <w:pPr>
        <w:jc w:val="both"/>
        <w:rPr>
          <w:rFonts w:ascii="Arial" w:hAnsi="Arial" w:cs="Arial"/>
          <w:sz w:val="24"/>
          <w:szCs w:val="24"/>
          <w:lang w:val="es-CO" w:eastAsia="es-CO"/>
        </w:rPr>
      </w:pPr>
      <w:r w:rsidRPr="00A014E9">
        <w:rPr>
          <w:rFonts w:ascii="Arial" w:hAnsi="Arial" w:cs="Arial"/>
          <w:sz w:val="24"/>
          <w:szCs w:val="24"/>
          <w:lang w:val="es-CO" w:eastAsia="es-CO"/>
        </w:rPr>
        <w:t xml:space="preserve"> </w:t>
      </w:r>
    </w:p>
    <w:p w14:paraId="76682ECA" w14:textId="77777777" w:rsidR="00A014E9" w:rsidRPr="00A014E9" w:rsidRDefault="00A014E9" w:rsidP="00A014E9">
      <w:pPr>
        <w:ind w:left="-5" w:hanging="10"/>
        <w:jc w:val="both"/>
        <w:rPr>
          <w:rFonts w:ascii="Arial" w:hAnsi="Arial" w:cs="Arial"/>
          <w:sz w:val="24"/>
          <w:szCs w:val="24"/>
          <w:lang w:val="es-CO" w:eastAsia="es-CO"/>
        </w:rPr>
      </w:pPr>
      <w:r w:rsidRPr="00A014E9">
        <w:rPr>
          <w:rFonts w:ascii="Arial" w:hAnsi="Arial" w:cs="Arial"/>
          <w:sz w:val="24"/>
          <w:szCs w:val="24"/>
          <w:lang w:val="es-CO" w:eastAsia="es-CO"/>
        </w:rPr>
        <w:t xml:space="preserve">Doctora </w:t>
      </w:r>
    </w:p>
    <w:p w14:paraId="15D7EA81" w14:textId="77777777" w:rsidR="00A014E9" w:rsidRPr="00A014E9" w:rsidRDefault="00A014E9" w:rsidP="00A014E9">
      <w:pPr>
        <w:ind w:left="-5" w:hanging="10"/>
        <w:jc w:val="both"/>
        <w:rPr>
          <w:rFonts w:ascii="Arial" w:hAnsi="Arial" w:cs="Arial"/>
          <w:b/>
          <w:bCs/>
          <w:sz w:val="24"/>
          <w:szCs w:val="24"/>
          <w:lang w:val="es-CO" w:eastAsia="es-CO"/>
        </w:rPr>
      </w:pPr>
      <w:r w:rsidRPr="00A014E9">
        <w:rPr>
          <w:rFonts w:ascii="Arial" w:hAnsi="Arial" w:cs="Arial"/>
          <w:b/>
          <w:bCs/>
          <w:sz w:val="24"/>
          <w:szCs w:val="24"/>
          <w:lang w:val="es-CO" w:eastAsia="es-CO"/>
        </w:rPr>
        <w:t>SONIA STELLA ROMERO TORRES</w:t>
      </w:r>
    </w:p>
    <w:p w14:paraId="174C18BA" w14:textId="77777777" w:rsidR="00A014E9" w:rsidRPr="00A014E9" w:rsidRDefault="00A014E9" w:rsidP="00A014E9">
      <w:pPr>
        <w:ind w:left="17" w:right="20" w:hanging="3"/>
        <w:jc w:val="both"/>
        <w:rPr>
          <w:rFonts w:ascii="Arial" w:hAnsi="Arial" w:cs="Arial"/>
          <w:sz w:val="24"/>
          <w:szCs w:val="24"/>
          <w:lang w:val="es-CO" w:eastAsia="es-CO"/>
        </w:rPr>
      </w:pPr>
      <w:r w:rsidRPr="00A014E9">
        <w:rPr>
          <w:rFonts w:ascii="Arial" w:hAnsi="Arial" w:cs="Arial"/>
          <w:sz w:val="24"/>
          <w:szCs w:val="24"/>
          <w:lang w:val="es-CO" w:eastAsia="es-CO"/>
        </w:rPr>
        <w:t>Directora Jurídica y Contractual</w:t>
      </w:r>
    </w:p>
    <w:p w14:paraId="5D5D6472" w14:textId="77777777" w:rsidR="00A014E9" w:rsidRPr="00A014E9" w:rsidRDefault="00A014E9" w:rsidP="00A014E9">
      <w:pPr>
        <w:ind w:firstLine="4"/>
        <w:jc w:val="both"/>
        <w:rPr>
          <w:rFonts w:ascii="Arial" w:hAnsi="Arial" w:cs="Arial"/>
          <w:sz w:val="24"/>
          <w:szCs w:val="24"/>
          <w:lang w:val="es-CO" w:eastAsia="es-CO"/>
        </w:rPr>
      </w:pPr>
      <w:r w:rsidRPr="00A014E9">
        <w:rPr>
          <w:rFonts w:ascii="Arial" w:hAnsi="Arial" w:cs="Arial"/>
          <w:sz w:val="24"/>
          <w:szCs w:val="24"/>
          <w:lang w:val="es-CO" w:eastAsia="es-CO"/>
        </w:rPr>
        <w:t>Secretaría Distrital de Seguridad, Convivencia y Justicia</w:t>
      </w:r>
    </w:p>
    <w:p w14:paraId="62E35130" w14:textId="77777777" w:rsidR="00A014E9" w:rsidRPr="00A014E9" w:rsidRDefault="00A014E9" w:rsidP="00A014E9">
      <w:pPr>
        <w:ind w:left="-5" w:hanging="10"/>
        <w:jc w:val="both"/>
        <w:rPr>
          <w:rFonts w:ascii="Arial" w:hAnsi="Arial" w:cs="Arial"/>
          <w:sz w:val="24"/>
          <w:szCs w:val="24"/>
          <w:lang w:val="es-CO" w:eastAsia="es-CO"/>
        </w:rPr>
      </w:pPr>
      <w:r w:rsidRPr="00A014E9">
        <w:rPr>
          <w:rFonts w:ascii="Arial" w:hAnsi="Arial" w:cs="Arial"/>
          <w:sz w:val="24"/>
          <w:szCs w:val="24"/>
          <w:lang w:val="es-CO" w:eastAsia="es-CO"/>
        </w:rPr>
        <w:t>Avenida calle 26 No. 57-83 Torre 7</w:t>
      </w:r>
    </w:p>
    <w:p w14:paraId="45AE8E3B" w14:textId="77777777" w:rsidR="00A014E9" w:rsidRPr="00A014E9" w:rsidRDefault="00A014E9" w:rsidP="00A014E9">
      <w:pPr>
        <w:ind w:left="-5" w:hanging="10"/>
        <w:jc w:val="both"/>
        <w:rPr>
          <w:rFonts w:ascii="Arial" w:hAnsi="Arial" w:cs="Arial"/>
          <w:sz w:val="24"/>
          <w:szCs w:val="24"/>
          <w:lang w:val="es-CO" w:eastAsia="es-CO"/>
        </w:rPr>
      </w:pPr>
      <w:r w:rsidRPr="00A014E9">
        <w:rPr>
          <w:rFonts w:ascii="Arial" w:hAnsi="Arial" w:cs="Arial"/>
          <w:sz w:val="24"/>
          <w:szCs w:val="24"/>
          <w:lang w:val="es-CO" w:eastAsia="es-CO"/>
        </w:rPr>
        <w:t>Tel. 3779595</w:t>
      </w:r>
    </w:p>
    <w:p w14:paraId="3D69D866" w14:textId="77777777" w:rsidR="00A014E9" w:rsidRPr="00A014E9" w:rsidRDefault="00A014E9" w:rsidP="00A014E9">
      <w:pPr>
        <w:ind w:firstLine="4"/>
        <w:jc w:val="both"/>
        <w:rPr>
          <w:rFonts w:ascii="Arial" w:hAnsi="Arial" w:cs="Arial"/>
          <w:sz w:val="24"/>
          <w:szCs w:val="24"/>
          <w:lang w:val="es-CO" w:eastAsia="es-CO"/>
        </w:rPr>
      </w:pPr>
    </w:p>
    <w:p w14:paraId="209F90C8" w14:textId="77777777" w:rsidR="00A014E9" w:rsidRPr="00A014E9" w:rsidRDefault="00A014E9" w:rsidP="00A014E9">
      <w:pPr>
        <w:ind w:right="4"/>
        <w:jc w:val="center"/>
        <w:rPr>
          <w:rFonts w:ascii="Arial" w:hAnsi="Arial" w:cs="Arial"/>
          <w:b/>
          <w:sz w:val="24"/>
          <w:szCs w:val="24"/>
          <w:lang w:val="es-CO" w:eastAsia="es-CO"/>
        </w:rPr>
      </w:pPr>
      <w:r w:rsidRPr="00A014E9">
        <w:rPr>
          <w:rFonts w:ascii="Arial" w:hAnsi="Arial" w:cs="Arial"/>
          <w:b/>
          <w:sz w:val="24"/>
          <w:szCs w:val="24"/>
          <w:lang w:val="es-CO" w:eastAsia="es-CO"/>
        </w:rPr>
        <w:t>CONCEPTO</w:t>
      </w:r>
    </w:p>
    <w:p w14:paraId="24820653" w14:textId="77777777" w:rsidR="00A014E9" w:rsidRPr="00A014E9" w:rsidRDefault="00A014E9" w:rsidP="00A014E9">
      <w:pPr>
        <w:ind w:right="4"/>
        <w:jc w:val="both"/>
        <w:rPr>
          <w:rFonts w:ascii="Arial" w:hAnsi="Arial" w:cs="Arial"/>
          <w:sz w:val="24"/>
          <w:szCs w:val="24"/>
          <w:lang w:val="es-CO" w:eastAsia="es-CO"/>
        </w:rPr>
      </w:pPr>
    </w:p>
    <w:tbl>
      <w:tblPr>
        <w:tblStyle w:val="TableGrid"/>
        <w:tblW w:w="8872" w:type="dxa"/>
        <w:tblInd w:w="113" w:type="dxa"/>
        <w:tblCellMar>
          <w:top w:w="13" w:type="dxa"/>
          <w:left w:w="108" w:type="dxa"/>
          <w:right w:w="44" w:type="dxa"/>
        </w:tblCellMar>
        <w:tblLook w:val="04A0" w:firstRow="1" w:lastRow="0" w:firstColumn="1" w:lastColumn="0" w:noHBand="0" w:noVBand="1"/>
      </w:tblPr>
      <w:tblGrid>
        <w:gridCol w:w="1158"/>
        <w:gridCol w:w="7714"/>
      </w:tblGrid>
      <w:tr w:rsidR="00A014E9" w:rsidRPr="00A014E9" w14:paraId="424253D7" w14:textId="77777777" w:rsidTr="00732433">
        <w:trPr>
          <w:trHeight w:val="286"/>
        </w:trPr>
        <w:tc>
          <w:tcPr>
            <w:tcW w:w="1158" w:type="dxa"/>
            <w:tcBorders>
              <w:top w:val="single" w:sz="4" w:space="0" w:color="000000"/>
              <w:left w:val="single" w:sz="4" w:space="0" w:color="000000"/>
              <w:bottom w:val="single" w:sz="4" w:space="0" w:color="000000"/>
              <w:right w:val="single" w:sz="4" w:space="0" w:color="000000"/>
            </w:tcBorders>
          </w:tcPr>
          <w:p w14:paraId="2B396470" w14:textId="77777777" w:rsidR="00A014E9" w:rsidRPr="00A014E9" w:rsidRDefault="00A014E9" w:rsidP="00A014E9">
            <w:pPr>
              <w:jc w:val="both"/>
              <w:rPr>
                <w:rFonts w:ascii="Arial" w:hAnsi="Arial" w:cs="Arial"/>
                <w:lang w:val="es-CO" w:eastAsia="es-CO"/>
              </w:rPr>
            </w:pPr>
            <w:r w:rsidRPr="00A014E9">
              <w:rPr>
                <w:rFonts w:ascii="Arial" w:hAnsi="Arial" w:cs="Arial"/>
                <w:lang w:val="es-CO" w:eastAsia="es-CO"/>
              </w:rPr>
              <w:t xml:space="preserve">Referencia </w:t>
            </w:r>
          </w:p>
        </w:tc>
        <w:tc>
          <w:tcPr>
            <w:tcW w:w="7714" w:type="dxa"/>
            <w:tcBorders>
              <w:top w:val="single" w:sz="4" w:space="0" w:color="000000"/>
              <w:left w:val="single" w:sz="4" w:space="0" w:color="000000"/>
              <w:bottom w:val="single" w:sz="4" w:space="0" w:color="000000"/>
              <w:right w:val="single" w:sz="4" w:space="0" w:color="000000"/>
            </w:tcBorders>
          </w:tcPr>
          <w:p w14:paraId="53CEDEB3" w14:textId="42823085" w:rsidR="00A014E9" w:rsidRPr="00A014E9" w:rsidRDefault="00A014E9" w:rsidP="00A014E9">
            <w:pPr>
              <w:jc w:val="both"/>
              <w:rPr>
                <w:rFonts w:ascii="Arial" w:hAnsi="Arial" w:cs="Arial"/>
                <w:lang w:val="es-CO" w:eastAsia="es-CO"/>
              </w:rPr>
            </w:pPr>
            <w:bookmarkStart w:id="0" w:name="_Hlk48748749"/>
            <w:r w:rsidRPr="00A014E9">
              <w:rPr>
                <w:rFonts w:ascii="Arial" w:hAnsi="Arial" w:cs="Arial"/>
                <w:lang w:val="es-CO" w:eastAsia="es-CO"/>
              </w:rPr>
              <w:t>2020ER57125</w:t>
            </w:r>
            <w:bookmarkEnd w:id="0"/>
            <w:r w:rsidR="008146C9">
              <w:rPr>
                <w:rFonts w:ascii="Arial" w:hAnsi="Arial" w:cs="Arial"/>
                <w:lang w:val="es-CO" w:eastAsia="es-CO"/>
              </w:rPr>
              <w:t xml:space="preserve">, </w:t>
            </w:r>
            <w:r w:rsidR="008146C9" w:rsidRPr="008146C9">
              <w:rPr>
                <w:rFonts w:ascii="Arial" w:hAnsi="Arial" w:cs="Arial"/>
                <w:lang w:val="es-CO" w:eastAsia="es-CO"/>
              </w:rPr>
              <w:t>2021ER046243O1</w:t>
            </w:r>
          </w:p>
        </w:tc>
      </w:tr>
      <w:tr w:rsidR="00A014E9" w:rsidRPr="00A014E9" w14:paraId="52105C92" w14:textId="77777777" w:rsidTr="00732433">
        <w:trPr>
          <w:trHeight w:val="286"/>
        </w:trPr>
        <w:tc>
          <w:tcPr>
            <w:tcW w:w="1158" w:type="dxa"/>
            <w:tcBorders>
              <w:top w:val="single" w:sz="4" w:space="0" w:color="000000"/>
              <w:left w:val="single" w:sz="4" w:space="0" w:color="000000"/>
              <w:bottom w:val="single" w:sz="4" w:space="0" w:color="000000"/>
              <w:right w:val="single" w:sz="4" w:space="0" w:color="000000"/>
            </w:tcBorders>
          </w:tcPr>
          <w:p w14:paraId="05973EA5" w14:textId="77777777" w:rsidR="00A014E9" w:rsidRPr="00A014E9" w:rsidRDefault="00A014E9" w:rsidP="00A014E9">
            <w:pPr>
              <w:jc w:val="both"/>
              <w:rPr>
                <w:rFonts w:ascii="Arial" w:hAnsi="Arial" w:cs="Arial"/>
                <w:lang w:val="es-CO" w:eastAsia="es-CO"/>
              </w:rPr>
            </w:pPr>
            <w:r w:rsidRPr="00A014E9">
              <w:rPr>
                <w:rFonts w:ascii="Arial" w:hAnsi="Arial" w:cs="Arial"/>
                <w:lang w:val="es-CO" w:eastAsia="es-CO"/>
              </w:rPr>
              <w:t xml:space="preserve">Descriptor General </w:t>
            </w:r>
          </w:p>
        </w:tc>
        <w:tc>
          <w:tcPr>
            <w:tcW w:w="7714" w:type="dxa"/>
            <w:tcBorders>
              <w:top w:val="single" w:sz="4" w:space="0" w:color="000000"/>
              <w:left w:val="single" w:sz="4" w:space="0" w:color="000000"/>
              <w:bottom w:val="single" w:sz="4" w:space="0" w:color="000000"/>
              <w:right w:val="single" w:sz="4" w:space="0" w:color="000000"/>
            </w:tcBorders>
          </w:tcPr>
          <w:p w14:paraId="164AE3C3" w14:textId="532DFE69" w:rsidR="00A014E9" w:rsidRPr="00A014E9" w:rsidRDefault="00A014E9" w:rsidP="00A014E9">
            <w:pPr>
              <w:jc w:val="both"/>
              <w:rPr>
                <w:rFonts w:ascii="Arial" w:hAnsi="Arial" w:cs="Arial"/>
                <w:lang w:val="es-CO" w:eastAsia="es-CO"/>
              </w:rPr>
            </w:pPr>
            <w:r w:rsidRPr="00A014E9">
              <w:rPr>
                <w:rFonts w:ascii="Arial" w:hAnsi="Arial" w:cs="Arial"/>
                <w:lang w:val="es-CO" w:eastAsia="es-CO"/>
              </w:rPr>
              <w:t xml:space="preserve">Tesorería </w:t>
            </w:r>
          </w:p>
        </w:tc>
      </w:tr>
      <w:tr w:rsidR="00A014E9" w:rsidRPr="00A014E9" w14:paraId="3D0541EF" w14:textId="77777777" w:rsidTr="00732433">
        <w:trPr>
          <w:trHeight w:val="439"/>
        </w:trPr>
        <w:tc>
          <w:tcPr>
            <w:tcW w:w="1158" w:type="dxa"/>
            <w:tcBorders>
              <w:top w:val="single" w:sz="4" w:space="0" w:color="000000"/>
              <w:left w:val="single" w:sz="4" w:space="0" w:color="000000"/>
              <w:bottom w:val="single" w:sz="4" w:space="0" w:color="000000"/>
              <w:right w:val="single" w:sz="4" w:space="0" w:color="000000"/>
            </w:tcBorders>
          </w:tcPr>
          <w:p w14:paraId="58BC37BC" w14:textId="77777777" w:rsidR="00A014E9" w:rsidRPr="00A014E9" w:rsidRDefault="00A014E9" w:rsidP="00A014E9">
            <w:pPr>
              <w:jc w:val="both"/>
              <w:rPr>
                <w:rFonts w:ascii="Arial" w:hAnsi="Arial" w:cs="Arial"/>
                <w:lang w:val="es-CO" w:eastAsia="es-CO"/>
              </w:rPr>
            </w:pPr>
            <w:r w:rsidRPr="00A014E9">
              <w:rPr>
                <w:rFonts w:ascii="Arial" w:hAnsi="Arial" w:cs="Arial"/>
                <w:lang w:val="es-CO" w:eastAsia="es-CO"/>
              </w:rPr>
              <w:t xml:space="preserve">Descriptor Especial </w:t>
            </w:r>
          </w:p>
        </w:tc>
        <w:tc>
          <w:tcPr>
            <w:tcW w:w="7714" w:type="dxa"/>
            <w:tcBorders>
              <w:top w:val="single" w:sz="4" w:space="0" w:color="000000"/>
              <w:left w:val="single" w:sz="4" w:space="0" w:color="000000"/>
              <w:bottom w:val="single" w:sz="4" w:space="0" w:color="000000"/>
              <w:right w:val="single" w:sz="4" w:space="0" w:color="000000"/>
            </w:tcBorders>
          </w:tcPr>
          <w:p w14:paraId="47B31A50" w14:textId="1584187B" w:rsidR="00A014E9" w:rsidRPr="00A014E9" w:rsidRDefault="00A014E9" w:rsidP="00A014E9">
            <w:pPr>
              <w:jc w:val="both"/>
              <w:rPr>
                <w:rFonts w:ascii="Arial" w:hAnsi="Arial" w:cs="Arial"/>
                <w:lang w:val="es-CO" w:eastAsia="es-CO"/>
              </w:rPr>
            </w:pPr>
            <w:r w:rsidRPr="00A014E9">
              <w:rPr>
                <w:rFonts w:ascii="Arial" w:hAnsi="Arial" w:cs="Arial"/>
                <w:lang w:val="es-CO" w:eastAsia="es-CO"/>
              </w:rPr>
              <w:t>Pago pronto de multas policivas. Ejercicio de recursos legales.</w:t>
            </w:r>
          </w:p>
        </w:tc>
      </w:tr>
      <w:tr w:rsidR="00A014E9" w:rsidRPr="00A014E9" w14:paraId="5FE7FD41" w14:textId="77777777" w:rsidTr="00732433">
        <w:trPr>
          <w:trHeight w:val="1116"/>
        </w:trPr>
        <w:tc>
          <w:tcPr>
            <w:tcW w:w="1158" w:type="dxa"/>
            <w:tcBorders>
              <w:top w:val="single" w:sz="4" w:space="0" w:color="000000"/>
              <w:left w:val="single" w:sz="4" w:space="0" w:color="000000"/>
              <w:bottom w:val="single" w:sz="4" w:space="0" w:color="000000"/>
              <w:right w:val="single" w:sz="4" w:space="0" w:color="000000"/>
            </w:tcBorders>
          </w:tcPr>
          <w:p w14:paraId="0DBF439F" w14:textId="77777777" w:rsidR="00A014E9" w:rsidRPr="00A014E9" w:rsidRDefault="00A014E9" w:rsidP="00A014E9">
            <w:pPr>
              <w:jc w:val="both"/>
              <w:rPr>
                <w:rFonts w:ascii="Arial" w:hAnsi="Arial" w:cs="Arial"/>
                <w:lang w:val="es-CO" w:eastAsia="es-CO"/>
              </w:rPr>
            </w:pPr>
            <w:r w:rsidRPr="00A014E9">
              <w:rPr>
                <w:rFonts w:ascii="Arial" w:hAnsi="Arial" w:cs="Arial"/>
                <w:lang w:val="es-CO" w:eastAsia="es-CO"/>
              </w:rPr>
              <w:t xml:space="preserve">Problema Jurídico </w:t>
            </w:r>
          </w:p>
        </w:tc>
        <w:tc>
          <w:tcPr>
            <w:tcW w:w="7714" w:type="dxa"/>
            <w:tcBorders>
              <w:top w:val="single" w:sz="4" w:space="0" w:color="000000"/>
              <w:left w:val="single" w:sz="4" w:space="0" w:color="000000"/>
              <w:bottom w:val="single" w:sz="4" w:space="0" w:color="000000"/>
              <w:right w:val="single" w:sz="4" w:space="0" w:color="000000"/>
            </w:tcBorders>
          </w:tcPr>
          <w:p w14:paraId="7D91DD69" w14:textId="77777777" w:rsidR="00A014E9" w:rsidRPr="00A014E9" w:rsidRDefault="00A014E9" w:rsidP="00A014E9">
            <w:pPr>
              <w:ind w:right="66"/>
              <w:jc w:val="both"/>
              <w:rPr>
                <w:rFonts w:ascii="Arial" w:hAnsi="Arial" w:cs="Arial"/>
                <w:i/>
                <w:iCs/>
                <w:lang w:val="es-CO" w:eastAsia="es-CO"/>
              </w:rPr>
            </w:pPr>
            <w:r w:rsidRPr="00A014E9">
              <w:rPr>
                <w:rFonts w:ascii="Arial" w:hAnsi="Arial" w:cs="Arial"/>
                <w:i/>
                <w:iCs/>
                <w:lang w:val="es-CO" w:eastAsia="es-CO"/>
              </w:rPr>
              <w:t>¿Es viable jurídicamente considerar que el descuento por el pago pronto de una multa, previsto en el inciso 3 del parágrafo del Artículo 180 de la Ley 1801 de 2016, constituye una asunción de responsabilidad de la conducta contraria a la convivencia por parte del ciudadano?</w:t>
            </w:r>
          </w:p>
        </w:tc>
      </w:tr>
      <w:tr w:rsidR="00A014E9" w:rsidRPr="00A014E9" w14:paraId="18527255" w14:textId="77777777" w:rsidTr="00732433">
        <w:trPr>
          <w:trHeight w:val="286"/>
        </w:trPr>
        <w:tc>
          <w:tcPr>
            <w:tcW w:w="1158" w:type="dxa"/>
            <w:tcBorders>
              <w:top w:val="single" w:sz="4" w:space="0" w:color="000000"/>
              <w:left w:val="single" w:sz="4" w:space="0" w:color="000000"/>
              <w:bottom w:val="single" w:sz="4" w:space="0" w:color="000000"/>
              <w:right w:val="single" w:sz="4" w:space="0" w:color="000000"/>
            </w:tcBorders>
          </w:tcPr>
          <w:p w14:paraId="61EB870B" w14:textId="77777777" w:rsidR="00A014E9" w:rsidRPr="00A014E9" w:rsidRDefault="00A014E9" w:rsidP="00A014E9">
            <w:pPr>
              <w:jc w:val="both"/>
              <w:rPr>
                <w:rFonts w:ascii="Arial" w:hAnsi="Arial" w:cs="Arial"/>
                <w:lang w:val="es-CO" w:eastAsia="es-CO"/>
              </w:rPr>
            </w:pPr>
            <w:r w:rsidRPr="00A014E9">
              <w:rPr>
                <w:rFonts w:ascii="Arial" w:hAnsi="Arial" w:cs="Arial"/>
                <w:lang w:val="es-CO" w:eastAsia="es-CO"/>
              </w:rPr>
              <w:t xml:space="preserve">Fuentes Formales </w:t>
            </w:r>
          </w:p>
        </w:tc>
        <w:tc>
          <w:tcPr>
            <w:tcW w:w="7714" w:type="dxa"/>
            <w:tcBorders>
              <w:top w:val="single" w:sz="4" w:space="0" w:color="000000"/>
              <w:left w:val="single" w:sz="4" w:space="0" w:color="000000"/>
              <w:bottom w:val="single" w:sz="4" w:space="0" w:color="000000"/>
              <w:right w:val="single" w:sz="4" w:space="0" w:color="000000"/>
            </w:tcBorders>
          </w:tcPr>
          <w:p w14:paraId="23A8A86F" w14:textId="7CCEC6A8" w:rsidR="00A014E9" w:rsidRPr="00A014E9" w:rsidRDefault="00A014E9" w:rsidP="00A014E9">
            <w:pPr>
              <w:ind w:right="407"/>
              <w:jc w:val="both"/>
              <w:rPr>
                <w:rFonts w:ascii="Arial" w:hAnsi="Arial" w:cs="Arial"/>
                <w:lang w:val="es-CO" w:eastAsia="es-CO"/>
              </w:rPr>
            </w:pPr>
            <w:r w:rsidRPr="00A014E9">
              <w:rPr>
                <w:rFonts w:ascii="Arial" w:hAnsi="Arial" w:cs="Arial"/>
                <w:lang w:val="es-CO" w:eastAsia="es-CO"/>
              </w:rPr>
              <w:t>Artículos 180, 222 de la Ley 1801 de 2016,</w:t>
            </w:r>
            <w:r w:rsidRPr="00A014E9">
              <w:rPr>
                <w:rFonts w:ascii="Arial" w:hAnsi="Arial" w:cs="Arial"/>
                <w:i/>
                <w:lang w:val="es-CO" w:eastAsia="es-CO"/>
              </w:rPr>
              <w:t xml:space="preserve"> “Por la cual se expide el Código Nacional de Policía y Convivencia”</w:t>
            </w:r>
          </w:p>
        </w:tc>
      </w:tr>
    </w:tbl>
    <w:p w14:paraId="2DF8EFB6" w14:textId="77777777" w:rsidR="00A014E9" w:rsidRPr="00A014E9" w:rsidRDefault="00A014E9" w:rsidP="00A014E9">
      <w:pPr>
        <w:jc w:val="both"/>
        <w:rPr>
          <w:rFonts w:ascii="Arial" w:hAnsi="Arial" w:cs="Arial"/>
          <w:sz w:val="24"/>
          <w:szCs w:val="24"/>
          <w:lang w:val="es-CO" w:eastAsia="es-CO"/>
        </w:rPr>
      </w:pPr>
      <w:r w:rsidRPr="00A014E9">
        <w:rPr>
          <w:rFonts w:ascii="Arial" w:hAnsi="Arial" w:cs="Arial"/>
          <w:b/>
          <w:sz w:val="24"/>
          <w:szCs w:val="24"/>
          <w:lang w:val="es-CO" w:eastAsia="es-CO"/>
        </w:rPr>
        <w:t xml:space="preserve"> </w:t>
      </w:r>
    </w:p>
    <w:p w14:paraId="4210E1DF" w14:textId="77777777" w:rsidR="00A014E9" w:rsidRPr="00A014E9" w:rsidRDefault="00A014E9" w:rsidP="00A014E9">
      <w:pPr>
        <w:ind w:left="-5" w:hanging="10"/>
        <w:jc w:val="both"/>
        <w:rPr>
          <w:rFonts w:ascii="Arial" w:hAnsi="Arial" w:cs="Arial"/>
          <w:sz w:val="24"/>
          <w:szCs w:val="24"/>
          <w:lang w:val="es-CO" w:eastAsia="es-CO"/>
        </w:rPr>
      </w:pPr>
      <w:r w:rsidRPr="00A014E9">
        <w:rPr>
          <w:rFonts w:ascii="Arial" w:hAnsi="Arial" w:cs="Arial"/>
          <w:b/>
          <w:sz w:val="24"/>
          <w:szCs w:val="24"/>
          <w:lang w:val="es-CO" w:eastAsia="es-CO"/>
        </w:rPr>
        <w:t xml:space="preserve">IDENTIFICACIÓN DE LA CONSULTA: </w:t>
      </w:r>
    </w:p>
    <w:p w14:paraId="1CB6102A" w14:textId="77777777" w:rsidR="00A014E9" w:rsidRPr="00A014E9" w:rsidRDefault="00A014E9" w:rsidP="00A014E9">
      <w:pPr>
        <w:jc w:val="both"/>
        <w:rPr>
          <w:rFonts w:ascii="Arial" w:hAnsi="Arial" w:cs="Arial"/>
          <w:sz w:val="24"/>
          <w:szCs w:val="24"/>
          <w:lang w:val="es-CO" w:eastAsia="es-CO"/>
        </w:rPr>
      </w:pPr>
      <w:r w:rsidRPr="00A014E9">
        <w:rPr>
          <w:rFonts w:ascii="Arial" w:hAnsi="Arial" w:cs="Arial"/>
          <w:sz w:val="24"/>
          <w:szCs w:val="24"/>
          <w:lang w:val="es-CO" w:eastAsia="es-CO"/>
        </w:rPr>
        <w:t xml:space="preserve"> </w:t>
      </w:r>
    </w:p>
    <w:p w14:paraId="0F96E12B" w14:textId="6F431D7A" w:rsidR="00A014E9" w:rsidRPr="00A014E9" w:rsidRDefault="00A014E9" w:rsidP="00A014E9">
      <w:pPr>
        <w:ind w:firstLine="4"/>
        <w:jc w:val="both"/>
        <w:rPr>
          <w:rFonts w:ascii="Arial" w:hAnsi="Arial" w:cs="Arial"/>
          <w:sz w:val="24"/>
          <w:szCs w:val="24"/>
          <w:lang w:val="es-CO" w:eastAsia="es-CO"/>
        </w:rPr>
      </w:pPr>
      <w:r w:rsidRPr="00A014E9">
        <w:rPr>
          <w:rFonts w:ascii="Arial" w:hAnsi="Arial" w:cs="Arial"/>
          <w:sz w:val="24"/>
          <w:szCs w:val="24"/>
          <w:lang w:val="es-CO" w:eastAsia="es-CO"/>
        </w:rPr>
        <w:t xml:space="preserve">La </w:t>
      </w:r>
      <w:proofErr w:type="gramStart"/>
      <w:r w:rsidRPr="00A014E9">
        <w:rPr>
          <w:rFonts w:ascii="Arial" w:hAnsi="Arial" w:cs="Arial"/>
          <w:sz w:val="24"/>
          <w:szCs w:val="24"/>
          <w:lang w:val="es-CO" w:eastAsia="es-CO"/>
        </w:rPr>
        <w:t>Directora</w:t>
      </w:r>
      <w:proofErr w:type="gramEnd"/>
      <w:r w:rsidR="00F0633A">
        <w:rPr>
          <w:rFonts w:ascii="Arial" w:hAnsi="Arial" w:cs="Arial"/>
          <w:sz w:val="24"/>
          <w:szCs w:val="24"/>
          <w:lang w:val="es-CO" w:eastAsia="es-CO"/>
        </w:rPr>
        <w:t xml:space="preserve"> </w:t>
      </w:r>
      <w:r w:rsidRPr="00A014E9">
        <w:rPr>
          <w:rFonts w:ascii="Arial" w:hAnsi="Arial" w:cs="Arial"/>
          <w:sz w:val="24"/>
          <w:szCs w:val="24"/>
          <w:lang w:val="es-CO" w:eastAsia="es-CO"/>
        </w:rPr>
        <w:t xml:space="preserve">Distrital de Doctrina y Asuntos Normativos de la Secretaría Jurídica Distrital remite consulta jurídica elevada por la Secretaría Distrital de Seguridad, Convivencia y Justicia donde se formula la siguiente pregunta:   </w:t>
      </w:r>
    </w:p>
    <w:p w14:paraId="2A48F428" w14:textId="77777777" w:rsidR="00A014E9" w:rsidRPr="00A014E9" w:rsidRDefault="00A014E9" w:rsidP="00A014E9">
      <w:pPr>
        <w:jc w:val="both"/>
        <w:rPr>
          <w:rFonts w:ascii="Arial" w:hAnsi="Arial" w:cs="Arial"/>
          <w:i/>
          <w:sz w:val="24"/>
          <w:szCs w:val="24"/>
          <w:lang w:val="es-CO" w:eastAsia="es-CO"/>
        </w:rPr>
      </w:pPr>
      <w:r w:rsidRPr="00A014E9">
        <w:rPr>
          <w:rFonts w:ascii="Arial" w:hAnsi="Arial" w:cs="Arial"/>
          <w:i/>
          <w:sz w:val="24"/>
          <w:szCs w:val="24"/>
          <w:lang w:val="es-CO" w:eastAsia="es-CO"/>
        </w:rPr>
        <w:t xml:space="preserve"> </w:t>
      </w:r>
    </w:p>
    <w:p w14:paraId="4BCB6B96" w14:textId="77777777" w:rsidR="00A014E9" w:rsidRPr="00A014E9" w:rsidRDefault="00A014E9" w:rsidP="00A014E9">
      <w:pPr>
        <w:jc w:val="both"/>
        <w:rPr>
          <w:rFonts w:ascii="Arial" w:hAnsi="Arial" w:cs="Arial"/>
          <w:i/>
          <w:iCs/>
          <w:sz w:val="24"/>
          <w:szCs w:val="24"/>
          <w:lang w:val="es-CO" w:eastAsia="es-CO"/>
        </w:rPr>
      </w:pPr>
      <w:r w:rsidRPr="00A014E9">
        <w:rPr>
          <w:rFonts w:ascii="Arial" w:hAnsi="Arial" w:cs="Arial"/>
          <w:i/>
          <w:iCs/>
          <w:sz w:val="24"/>
          <w:szCs w:val="24"/>
          <w:lang w:val="es-CO" w:eastAsia="es-CO"/>
        </w:rPr>
        <w:t>¿Es viable jurídicamente considerar que el descuento por el pago pronto de una multa, previsto en el inciso 3 del parágrafo del Artículo 180 de la Ley 1801 de 2016, constituye una asunción de responsabilidad de la conducta contraria a la convivencia por parte del ciudadano?</w:t>
      </w:r>
    </w:p>
    <w:p w14:paraId="15CB636D" w14:textId="5C2F6A37" w:rsidR="00A014E9" w:rsidRPr="00A014E9" w:rsidRDefault="00A014E9" w:rsidP="00C03DA0">
      <w:pPr>
        <w:jc w:val="both"/>
        <w:rPr>
          <w:rFonts w:ascii="Arial" w:hAnsi="Arial" w:cs="Arial"/>
          <w:b/>
          <w:sz w:val="24"/>
          <w:szCs w:val="24"/>
          <w:lang w:val="es-CO" w:eastAsia="es-CO"/>
        </w:rPr>
      </w:pPr>
      <w:r w:rsidRPr="00A014E9">
        <w:rPr>
          <w:rFonts w:ascii="Arial" w:hAnsi="Arial" w:cs="Arial"/>
          <w:b/>
          <w:sz w:val="24"/>
          <w:szCs w:val="24"/>
          <w:lang w:val="es-CO" w:eastAsia="es-CO"/>
        </w:rPr>
        <w:t xml:space="preserve"> </w:t>
      </w:r>
    </w:p>
    <w:p w14:paraId="36B21175" w14:textId="77777777" w:rsidR="00A014E9" w:rsidRPr="00A014E9" w:rsidRDefault="00A014E9" w:rsidP="00A014E9">
      <w:pPr>
        <w:ind w:left="-5" w:hanging="10"/>
        <w:jc w:val="both"/>
        <w:rPr>
          <w:rFonts w:ascii="Arial" w:hAnsi="Arial" w:cs="Arial"/>
          <w:sz w:val="24"/>
          <w:szCs w:val="24"/>
          <w:lang w:val="es-CO" w:eastAsia="es-CO"/>
        </w:rPr>
      </w:pPr>
      <w:r w:rsidRPr="00A014E9">
        <w:rPr>
          <w:rFonts w:ascii="Arial" w:hAnsi="Arial" w:cs="Arial"/>
          <w:b/>
          <w:sz w:val="24"/>
          <w:szCs w:val="24"/>
          <w:lang w:val="es-CO" w:eastAsia="es-CO"/>
        </w:rPr>
        <w:t xml:space="preserve">CONSIDERACIONES </w:t>
      </w:r>
    </w:p>
    <w:p w14:paraId="68548C92" w14:textId="77777777" w:rsidR="00A014E9" w:rsidRPr="00A014E9" w:rsidRDefault="00A014E9" w:rsidP="00A014E9">
      <w:pPr>
        <w:jc w:val="both"/>
        <w:rPr>
          <w:rFonts w:ascii="Arial" w:hAnsi="Arial" w:cs="Arial"/>
          <w:sz w:val="24"/>
          <w:szCs w:val="24"/>
          <w:lang w:val="es-CO" w:eastAsia="es-CO"/>
        </w:rPr>
      </w:pPr>
      <w:r w:rsidRPr="00A014E9">
        <w:rPr>
          <w:rFonts w:ascii="Arial" w:hAnsi="Arial" w:cs="Arial"/>
          <w:sz w:val="24"/>
          <w:szCs w:val="24"/>
          <w:lang w:val="es-CO" w:eastAsia="es-CO"/>
        </w:rPr>
        <w:t xml:space="preserve"> </w:t>
      </w:r>
    </w:p>
    <w:p w14:paraId="0EA1996E" w14:textId="693F3346" w:rsidR="00A014E9" w:rsidRPr="00A014E9" w:rsidRDefault="00A014E9" w:rsidP="00A014E9">
      <w:pPr>
        <w:ind w:left="-5" w:hanging="10"/>
        <w:jc w:val="both"/>
        <w:rPr>
          <w:rFonts w:ascii="Arial" w:hAnsi="Arial" w:cs="Arial"/>
          <w:sz w:val="24"/>
          <w:szCs w:val="24"/>
          <w:lang w:val="es-CO" w:eastAsia="es-CO"/>
        </w:rPr>
      </w:pPr>
      <w:r w:rsidRPr="00A014E9">
        <w:rPr>
          <w:rFonts w:ascii="Arial" w:hAnsi="Arial" w:cs="Arial"/>
          <w:sz w:val="24"/>
          <w:szCs w:val="24"/>
          <w:lang w:val="es-CO" w:eastAsia="es-CO"/>
        </w:rPr>
        <w:t>La consulta se origina en la necesidad de saber si el beneficio del descuento por pronto pago otorgado en el inciso 3 del parágrafo del Artículo 180 de la Ley 1801 de 2016, “Por la cual se expide el Código Nacional de Seguridad y Convivencia Ciudadana”, supone</w:t>
      </w:r>
      <w:r w:rsidR="00F0633A">
        <w:rPr>
          <w:rFonts w:ascii="Arial" w:hAnsi="Arial" w:cs="Arial"/>
          <w:sz w:val="24"/>
          <w:szCs w:val="24"/>
          <w:lang w:val="es-CO" w:eastAsia="es-CO"/>
        </w:rPr>
        <w:t xml:space="preserve"> </w:t>
      </w:r>
      <w:r w:rsidRPr="00A014E9">
        <w:rPr>
          <w:rFonts w:ascii="Arial" w:hAnsi="Arial" w:cs="Arial"/>
          <w:sz w:val="24"/>
          <w:szCs w:val="24"/>
          <w:lang w:val="es-CO" w:eastAsia="es-CO"/>
        </w:rPr>
        <w:t xml:space="preserve">la renuncia del ciudadano a impugnar el comparendo y, por consiguiente, la asunción de responsabilidad de la conducta policiva. </w:t>
      </w:r>
    </w:p>
    <w:p w14:paraId="6887C303" w14:textId="77777777" w:rsidR="00A014E9" w:rsidRPr="00A014E9" w:rsidRDefault="00A014E9" w:rsidP="00A014E9">
      <w:pPr>
        <w:jc w:val="both"/>
        <w:rPr>
          <w:rFonts w:ascii="Arial" w:hAnsi="Arial" w:cs="Arial"/>
          <w:sz w:val="24"/>
          <w:szCs w:val="24"/>
          <w:lang w:val="es-CO" w:eastAsia="es-CO"/>
        </w:rPr>
      </w:pPr>
      <w:r w:rsidRPr="00A014E9">
        <w:rPr>
          <w:rFonts w:ascii="Arial" w:hAnsi="Arial" w:cs="Arial"/>
          <w:sz w:val="24"/>
          <w:szCs w:val="24"/>
          <w:lang w:val="es-CO" w:eastAsia="es-CO"/>
        </w:rPr>
        <w:t xml:space="preserve"> </w:t>
      </w:r>
    </w:p>
    <w:p w14:paraId="3B5130D1" w14:textId="77777777" w:rsidR="00A014E9" w:rsidRPr="00A014E9" w:rsidRDefault="00A014E9" w:rsidP="00A014E9">
      <w:pPr>
        <w:ind w:left="-5" w:hanging="10"/>
        <w:jc w:val="both"/>
        <w:rPr>
          <w:rFonts w:ascii="Arial" w:hAnsi="Arial" w:cs="Arial"/>
          <w:sz w:val="24"/>
          <w:szCs w:val="24"/>
          <w:lang w:val="es-CO" w:eastAsia="es-CO"/>
        </w:rPr>
      </w:pPr>
      <w:r w:rsidRPr="00A014E9">
        <w:rPr>
          <w:rFonts w:ascii="Arial" w:hAnsi="Arial" w:cs="Arial"/>
          <w:sz w:val="24"/>
          <w:szCs w:val="24"/>
          <w:lang w:val="es-CO" w:eastAsia="es-CO"/>
        </w:rPr>
        <w:t>Al respecto, la aludida norma señaló:</w:t>
      </w:r>
    </w:p>
    <w:p w14:paraId="34CA9CE4" w14:textId="77777777" w:rsidR="00A014E9" w:rsidRPr="00A014E9" w:rsidRDefault="00A014E9" w:rsidP="00A014E9">
      <w:pPr>
        <w:ind w:left="-5" w:hanging="10"/>
        <w:jc w:val="both"/>
        <w:rPr>
          <w:rFonts w:ascii="Arial" w:hAnsi="Arial" w:cs="Arial"/>
          <w:sz w:val="24"/>
          <w:szCs w:val="24"/>
          <w:lang w:val="es-CO" w:eastAsia="es-CO"/>
        </w:rPr>
      </w:pPr>
      <w:r w:rsidRPr="00A014E9">
        <w:rPr>
          <w:rFonts w:ascii="Arial" w:hAnsi="Arial" w:cs="Arial"/>
          <w:sz w:val="24"/>
          <w:szCs w:val="24"/>
          <w:lang w:val="es-CO" w:eastAsia="es-CO"/>
        </w:rPr>
        <w:lastRenderedPageBreak/>
        <w:t xml:space="preserve"> </w:t>
      </w:r>
    </w:p>
    <w:p w14:paraId="30B14449" w14:textId="77777777" w:rsidR="00206750" w:rsidRDefault="00A014E9" w:rsidP="00A014E9">
      <w:pPr>
        <w:ind w:left="284" w:right="332"/>
        <w:jc w:val="both"/>
        <w:rPr>
          <w:rFonts w:ascii="Arial" w:hAnsi="Arial" w:cs="Arial"/>
          <w:i/>
          <w:iCs/>
          <w:sz w:val="22"/>
          <w:szCs w:val="22"/>
          <w:lang w:val="es-CO" w:eastAsia="es-CO"/>
        </w:rPr>
      </w:pPr>
      <w:r w:rsidRPr="00A014E9">
        <w:rPr>
          <w:rFonts w:ascii="Arial" w:hAnsi="Arial" w:cs="Arial"/>
          <w:i/>
          <w:sz w:val="22"/>
          <w:szCs w:val="22"/>
          <w:lang w:val="es-CO" w:eastAsia="es-CO"/>
        </w:rPr>
        <w:t>“</w:t>
      </w:r>
      <w:r w:rsidRPr="00A014E9">
        <w:rPr>
          <w:rFonts w:ascii="Arial" w:hAnsi="Arial" w:cs="Arial"/>
          <w:i/>
          <w:iCs/>
          <w:sz w:val="22"/>
          <w:szCs w:val="22"/>
          <w:lang w:val="es-CO" w:eastAsia="es-CO"/>
        </w:rPr>
        <w:t>Artículo 180. Multas:</w:t>
      </w:r>
      <w:r w:rsidRPr="00A014E9">
        <w:rPr>
          <w:rFonts w:ascii="Arial" w:hAnsi="Arial" w:cs="Arial"/>
          <w:b/>
          <w:bCs/>
          <w:i/>
          <w:iCs/>
          <w:sz w:val="22"/>
          <w:szCs w:val="22"/>
          <w:lang w:val="es-CO" w:eastAsia="es-CO"/>
        </w:rPr>
        <w:t xml:space="preserve"> </w:t>
      </w:r>
      <w:r w:rsidRPr="00A014E9">
        <w:rPr>
          <w:rFonts w:ascii="Arial" w:hAnsi="Arial" w:cs="Arial"/>
          <w:i/>
          <w:iCs/>
          <w:sz w:val="22"/>
          <w:szCs w:val="22"/>
          <w:lang w:val="es-CO" w:eastAsia="es-CO"/>
        </w:rPr>
        <w:t>Es la imposición del pago de una suma de dinero en moneda colombiana, cuya graduación depende del comportamiento realizado, según la cual varía el monto de la multa. Así mismo, la desobediencia, resistencia, desacato, o reiteración del comportamiento contrario a la convivencia, incrementará el valor de la multa, sin perjuicio de los intereses causados y el costo del cobro coactivo.</w:t>
      </w:r>
      <w:r w:rsidRPr="00A014E9">
        <w:rPr>
          <w:rFonts w:ascii="Arial" w:hAnsi="Arial" w:cs="Arial"/>
          <w:i/>
          <w:iCs/>
          <w:sz w:val="22"/>
          <w:szCs w:val="22"/>
          <w:lang w:val="es-CO" w:eastAsia="es-CO"/>
        </w:rPr>
        <w:br/>
      </w:r>
      <w:r w:rsidRPr="00A014E9">
        <w:rPr>
          <w:rFonts w:ascii="Arial" w:hAnsi="Arial" w:cs="Arial"/>
          <w:i/>
          <w:iCs/>
          <w:sz w:val="22"/>
          <w:szCs w:val="22"/>
          <w:lang w:val="es-CO" w:eastAsia="es-CO"/>
        </w:rPr>
        <w:br/>
        <w:t xml:space="preserve">(. . .) PARÁGRAFO. Las multas serán consignadas en la cuenta que para el efecto dispongan las administraciones distritales y municipales, y se destinarán a proyectos pedagógicos y de prevención en materia de seguridad, así como al cumplimiento de aquellas medidas correctivas impuestas por las autoridades de policía cuando su materialización deba ser inmediata, sin perjuicio de las acciones que deban adelantarse contra el infractor, para el cobro de </w:t>
      </w:r>
      <w:proofErr w:type="gramStart"/>
      <w:r w:rsidRPr="00A014E9">
        <w:rPr>
          <w:rFonts w:ascii="Arial" w:hAnsi="Arial" w:cs="Arial"/>
          <w:i/>
          <w:iCs/>
          <w:sz w:val="22"/>
          <w:szCs w:val="22"/>
          <w:lang w:val="es-CO" w:eastAsia="es-CO"/>
        </w:rPr>
        <w:t>la misma</w:t>
      </w:r>
      <w:proofErr w:type="gramEnd"/>
      <w:r w:rsidRPr="00A014E9">
        <w:rPr>
          <w:rFonts w:ascii="Arial" w:hAnsi="Arial" w:cs="Arial"/>
          <w:i/>
          <w:iCs/>
          <w:sz w:val="22"/>
          <w:szCs w:val="22"/>
          <w:lang w:val="es-CO" w:eastAsia="es-CO"/>
        </w:rPr>
        <w:t>.</w:t>
      </w:r>
    </w:p>
    <w:p w14:paraId="39F51C49" w14:textId="1B956675" w:rsidR="00206750" w:rsidRDefault="00A014E9" w:rsidP="00A014E9">
      <w:pPr>
        <w:ind w:left="284" w:right="332"/>
        <w:jc w:val="both"/>
        <w:rPr>
          <w:rFonts w:ascii="Arial" w:hAnsi="Arial" w:cs="Arial"/>
          <w:i/>
          <w:iCs/>
          <w:sz w:val="22"/>
          <w:szCs w:val="22"/>
          <w:lang w:val="es-CO" w:eastAsia="es-CO"/>
        </w:rPr>
      </w:pPr>
      <w:r w:rsidRPr="00A014E9">
        <w:rPr>
          <w:rFonts w:ascii="Arial" w:hAnsi="Arial" w:cs="Arial"/>
          <w:i/>
          <w:iCs/>
          <w:sz w:val="22"/>
          <w:szCs w:val="22"/>
          <w:lang w:val="es-CO" w:eastAsia="es-CO"/>
        </w:rPr>
        <w:br/>
        <w:t xml:space="preserve">(…9) Es deber de toda persona natural o jurídica, sin perjuicio de su condición económica y social, pagar las multas, salvo que cumpla la medida a través de la participación en programa comunitario o actividad pedagógica de convivencia, de ser aplicable. </w:t>
      </w:r>
      <w:r w:rsidRPr="00A014E9">
        <w:rPr>
          <w:rFonts w:ascii="Arial" w:hAnsi="Arial" w:cs="Arial"/>
          <w:i/>
          <w:iCs/>
          <w:sz w:val="22"/>
          <w:szCs w:val="22"/>
          <w:u w:val="single"/>
          <w:lang w:val="es-CO" w:eastAsia="es-CO"/>
        </w:rPr>
        <w:t>A la persona que pague la multa durante los cinco (5) días hábiles siguientes a la expedición del comparendo, se le disminuirá el valor de la multa en un cincuenta (50%) por ciento, lo cual constituye un descuento por pronto pago.</w:t>
      </w:r>
      <w:r w:rsidRPr="00A014E9">
        <w:rPr>
          <w:rFonts w:ascii="Arial" w:hAnsi="Arial" w:cs="Arial"/>
          <w:i/>
          <w:iCs/>
          <w:sz w:val="22"/>
          <w:szCs w:val="22"/>
          <w:lang w:val="es-CO" w:eastAsia="es-CO"/>
        </w:rPr>
        <w:t xml:space="preserve"> </w:t>
      </w:r>
      <w:r w:rsidRPr="00A014E9">
        <w:rPr>
          <w:rFonts w:ascii="Arial" w:hAnsi="Arial" w:cs="Arial"/>
          <w:i/>
          <w:iCs/>
          <w:sz w:val="22"/>
          <w:szCs w:val="22"/>
          <w:lang w:val="es-CO" w:eastAsia="es-CO"/>
        </w:rPr>
        <w:br/>
        <w:t>A cambio del pago de la Multa General tipos 1 y 2 la persona podrá, dentro de un plazo máximo de cinco (5) días hábiles siguientes a la expedición del comparendo, solicitar a la autoridad de policía que se conmute la multa por la participación en programa comunitario o actividad pedagógica de convivencia.</w:t>
      </w:r>
    </w:p>
    <w:p w14:paraId="5F44C21F" w14:textId="048CA2B8" w:rsidR="00A014E9" w:rsidRPr="00A014E9" w:rsidRDefault="00A014E9" w:rsidP="00206750">
      <w:pPr>
        <w:ind w:left="284" w:right="332"/>
        <w:jc w:val="both"/>
        <w:rPr>
          <w:rFonts w:ascii="Arial" w:hAnsi="Arial" w:cs="Arial"/>
          <w:sz w:val="24"/>
          <w:szCs w:val="24"/>
          <w:lang w:val="es-CO" w:eastAsia="es-CO"/>
        </w:rPr>
      </w:pPr>
      <w:r w:rsidRPr="00A014E9">
        <w:rPr>
          <w:rFonts w:ascii="Arial" w:hAnsi="Arial" w:cs="Arial"/>
          <w:i/>
          <w:iCs/>
          <w:sz w:val="22"/>
          <w:szCs w:val="22"/>
          <w:lang w:val="es-CO" w:eastAsia="es-CO"/>
        </w:rPr>
        <w:br/>
      </w:r>
      <w:r w:rsidRPr="00A014E9">
        <w:rPr>
          <w:rFonts w:ascii="Arial" w:hAnsi="Arial" w:cs="Arial"/>
          <w:i/>
          <w:iCs/>
          <w:sz w:val="22"/>
          <w:szCs w:val="22"/>
          <w:u w:val="single"/>
          <w:lang w:val="es-CO" w:eastAsia="es-CO"/>
        </w:rPr>
        <w:t>Si la persona no está de acuerdo</w:t>
      </w:r>
      <w:r w:rsidRPr="00A014E9">
        <w:rPr>
          <w:rFonts w:ascii="Arial" w:hAnsi="Arial" w:cs="Arial"/>
          <w:i/>
          <w:iCs/>
          <w:sz w:val="22"/>
          <w:szCs w:val="22"/>
          <w:lang w:val="es-CO" w:eastAsia="es-CO"/>
        </w:rPr>
        <w:t xml:space="preserve"> con la aplicación de la multa señalada en la orden de comparendo o con el cumplimiento de la medida de participación en programa comunitario o actividad pedagógica de convivencia, cuando este aplique, </w:t>
      </w:r>
      <w:r w:rsidRPr="00A014E9">
        <w:rPr>
          <w:rFonts w:ascii="Arial" w:hAnsi="Arial" w:cs="Arial"/>
          <w:i/>
          <w:iCs/>
          <w:sz w:val="22"/>
          <w:szCs w:val="22"/>
          <w:u w:val="single"/>
          <w:lang w:val="es-CO" w:eastAsia="es-CO"/>
        </w:rPr>
        <w:t xml:space="preserve">podrá </w:t>
      </w:r>
      <w:r w:rsidRPr="00A014E9">
        <w:rPr>
          <w:rFonts w:ascii="Arial" w:hAnsi="Arial" w:cs="Arial"/>
          <w:i/>
          <w:iCs/>
          <w:sz w:val="22"/>
          <w:szCs w:val="22"/>
          <w:lang w:val="es-CO" w:eastAsia="es-CO"/>
        </w:rPr>
        <w:t xml:space="preserve">presentarse </w:t>
      </w:r>
      <w:r w:rsidRPr="00A014E9">
        <w:rPr>
          <w:rFonts w:ascii="Arial" w:hAnsi="Arial" w:cs="Arial"/>
          <w:i/>
          <w:iCs/>
          <w:sz w:val="22"/>
          <w:szCs w:val="22"/>
          <w:u w:val="single"/>
          <w:lang w:val="es-CO" w:eastAsia="es-CO"/>
        </w:rPr>
        <w:t>dentro de los tres (3) días hábiles</w:t>
      </w:r>
      <w:r w:rsidRPr="00A014E9">
        <w:rPr>
          <w:rFonts w:ascii="Arial" w:hAnsi="Arial" w:cs="Arial"/>
          <w:i/>
          <w:iCs/>
          <w:sz w:val="22"/>
          <w:szCs w:val="22"/>
          <w:lang w:val="es-CO" w:eastAsia="es-CO"/>
        </w:rPr>
        <w:t xml:space="preserve"> siguientes ante la autoridad competente, para </w:t>
      </w:r>
      <w:r w:rsidRPr="00A014E9">
        <w:rPr>
          <w:rFonts w:ascii="Arial" w:hAnsi="Arial" w:cs="Arial"/>
          <w:i/>
          <w:iCs/>
          <w:sz w:val="22"/>
          <w:szCs w:val="22"/>
          <w:u w:val="single"/>
          <w:lang w:val="es-CO" w:eastAsia="es-CO"/>
        </w:rPr>
        <w:t>objetar la medida</w:t>
      </w:r>
      <w:r w:rsidRPr="00A014E9">
        <w:rPr>
          <w:rFonts w:ascii="Arial" w:hAnsi="Arial" w:cs="Arial"/>
          <w:i/>
          <w:iCs/>
          <w:sz w:val="22"/>
          <w:szCs w:val="22"/>
          <w:lang w:val="es-CO" w:eastAsia="es-CO"/>
        </w:rPr>
        <w:t xml:space="preserve"> mediante el procedimiento establecido en este Código. </w:t>
      </w:r>
      <w:r w:rsidRPr="00A014E9">
        <w:rPr>
          <w:rFonts w:ascii="Arial" w:hAnsi="Arial" w:cs="Arial"/>
          <w:i/>
          <w:iCs/>
          <w:sz w:val="22"/>
          <w:szCs w:val="22"/>
          <w:lang w:val="es-CO" w:eastAsia="es-CO"/>
        </w:rPr>
        <w:br/>
        <w:t xml:space="preserve">La administración distrital o municipal podrá reglamentar la imposición de la medida correctiva de participación en programa comunitario o actividad pedagógica de convivencia para los comportamientos contrarios a la convivencia que admitan Multa tipos 1 y 2, en reemplazo de la </w:t>
      </w:r>
      <w:proofErr w:type="gramStart"/>
      <w:r w:rsidRPr="00A014E9">
        <w:rPr>
          <w:rFonts w:ascii="Arial" w:hAnsi="Arial" w:cs="Arial"/>
          <w:i/>
          <w:iCs/>
          <w:sz w:val="22"/>
          <w:szCs w:val="22"/>
          <w:lang w:val="es-CO" w:eastAsia="es-CO"/>
        </w:rPr>
        <w:t>multa.</w:t>
      </w:r>
      <w:r w:rsidRPr="00A014E9">
        <w:rPr>
          <w:rFonts w:ascii="Arial" w:hAnsi="Arial" w:cs="Arial"/>
          <w:i/>
          <w:sz w:val="22"/>
          <w:szCs w:val="22"/>
          <w:lang w:val="es-CO" w:eastAsia="es-CO"/>
        </w:rPr>
        <w:t>.</w:t>
      </w:r>
      <w:proofErr w:type="gramEnd"/>
      <w:r w:rsidRPr="00A014E9">
        <w:rPr>
          <w:rFonts w:ascii="Arial" w:hAnsi="Arial" w:cs="Arial"/>
          <w:i/>
          <w:sz w:val="22"/>
          <w:szCs w:val="22"/>
          <w:lang w:val="es-CO" w:eastAsia="es-CO"/>
        </w:rPr>
        <w:t xml:space="preserve">” </w:t>
      </w:r>
      <w:r w:rsidRPr="00A014E9">
        <w:rPr>
          <w:rFonts w:ascii="Arial" w:hAnsi="Arial" w:cs="Arial"/>
          <w:i/>
          <w:iCs/>
          <w:sz w:val="22"/>
          <w:szCs w:val="22"/>
          <w:lang w:val="es-CO" w:eastAsia="es-CO"/>
        </w:rPr>
        <w:t>(</w:t>
      </w:r>
      <w:r w:rsidRPr="00A014E9">
        <w:rPr>
          <w:rFonts w:ascii="Arial" w:hAnsi="Arial" w:cs="Arial"/>
          <w:sz w:val="22"/>
          <w:szCs w:val="22"/>
          <w:lang w:val="es-CO" w:eastAsia="es-CO"/>
        </w:rPr>
        <w:t>Resaltado fuera del texto</w:t>
      </w:r>
      <w:r w:rsidRPr="00A014E9">
        <w:rPr>
          <w:rFonts w:ascii="Arial" w:hAnsi="Arial" w:cs="Arial"/>
          <w:i/>
          <w:iCs/>
          <w:sz w:val="22"/>
          <w:szCs w:val="22"/>
          <w:lang w:val="es-CO" w:eastAsia="es-CO"/>
        </w:rPr>
        <w:t>)</w:t>
      </w:r>
      <w:r w:rsidRPr="00A014E9">
        <w:rPr>
          <w:rFonts w:ascii="Arial" w:hAnsi="Arial" w:cs="Arial"/>
          <w:i/>
          <w:iCs/>
          <w:sz w:val="22"/>
          <w:szCs w:val="22"/>
          <w:lang w:val="es-CO" w:eastAsia="es-CO"/>
        </w:rPr>
        <w:br/>
      </w:r>
      <w:r w:rsidRPr="00A014E9">
        <w:rPr>
          <w:rFonts w:ascii="Arial" w:hAnsi="Arial" w:cs="Arial"/>
          <w:sz w:val="24"/>
          <w:szCs w:val="24"/>
          <w:lang w:val="es-CO" w:eastAsia="es-CO"/>
        </w:rPr>
        <w:t xml:space="preserve"> </w:t>
      </w:r>
    </w:p>
    <w:p w14:paraId="6BD81978" w14:textId="42E141CE" w:rsidR="00A014E9" w:rsidRPr="00A014E9" w:rsidRDefault="00A014E9" w:rsidP="00A014E9">
      <w:pPr>
        <w:ind w:left="-5" w:hanging="10"/>
        <w:jc w:val="both"/>
        <w:rPr>
          <w:rFonts w:ascii="Arial" w:hAnsi="Arial" w:cs="Arial"/>
          <w:sz w:val="24"/>
          <w:szCs w:val="24"/>
          <w:lang w:val="es-CO" w:eastAsia="es-CO"/>
        </w:rPr>
      </w:pPr>
      <w:r w:rsidRPr="00A014E9">
        <w:rPr>
          <w:rFonts w:ascii="Arial" w:hAnsi="Arial" w:cs="Arial"/>
          <w:sz w:val="24"/>
          <w:szCs w:val="24"/>
          <w:lang w:val="es-CO" w:eastAsia="es-CO"/>
        </w:rPr>
        <w:t xml:space="preserve">Respecto a la interposición de recursos tal situación fue regulada en el </w:t>
      </w:r>
      <w:r w:rsidR="00732433">
        <w:rPr>
          <w:rFonts w:ascii="Arial" w:hAnsi="Arial" w:cs="Arial"/>
          <w:sz w:val="24"/>
          <w:szCs w:val="24"/>
          <w:lang w:val="es-CO" w:eastAsia="es-CO"/>
        </w:rPr>
        <w:t>a</w:t>
      </w:r>
      <w:r w:rsidRPr="00A014E9">
        <w:rPr>
          <w:rFonts w:ascii="Arial" w:hAnsi="Arial" w:cs="Arial"/>
          <w:sz w:val="24"/>
          <w:szCs w:val="24"/>
          <w:lang w:val="es-CO" w:eastAsia="es-CO"/>
        </w:rPr>
        <w:t xml:space="preserve">rtículo 222 de la misma Ley 1801 de 2016, en los siguientes términos: </w:t>
      </w:r>
    </w:p>
    <w:p w14:paraId="5C55F43F" w14:textId="77777777" w:rsidR="00A014E9" w:rsidRPr="00A014E9" w:rsidRDefault="00A014E9" w:rsidP="00A014E9">
      <w:pPr>
        <w:jc w:val="both"/>
        <w:rPr>
          <w:rFonts w:ascii="Arial" w:hAnsi="Arial" w:cs="Arial"/>
          <w:sz w:val="24"/>
          <w:szCs w:val="24"/>
          <w:lang w:val="es-CO" w:eastAsia="es-CO"/>
        </w:rPr>
      </w:pPr>
      <w:r w:rsidRPr="00A014E9">
        <w:rPr>
          <w:rFonts w:ascii="Arial" w:hAnsi="Arial" w:cs="Arial"/>
          <w:sz w:val="24"/>
          <w:szCs w:val="24"/>
          <w:lang w:val="es-CO" w:eastAsia="es-CO"/>
        </w:rPr>
        <w:t xml:space="preserve"> </w:t>
      </w:r>
    </w:p>
    <w:p w14:paraId="68880534" w14:textId="224B1D1A" w:rsidR="00A014E9" w:rsidRPr="00A014E9" w:rsidRDefault="00A014E9" w:rsidP="00A014E9">
      <w:pPr>
        <w:ind w:left="284" w:right="332"/>
        <w:jc w:val="both"/>
        <w:rPr>
          <w:rFonts w:ascii="Arial" w:hAnsi="Arial" w:cs="Arial"/>
          <w:sz w:val="22"/>
          <w:szCs w:val="22"/>
          <w:lang w:val="es-CO" w:eastAsia="es-CO"/>
        </w:rPr>
      </w:pPr>
      <w:r w:rsidRPr="00A014E9">
        <w:rPr>
          <w:rFonts w:ascii="Arial" w:hAnsi="Arial" w:cs="Arial"/>
          <w:bCs/>
          <w:i/>
          <w:iCs/>
          <w:sz w:val="22"/>
          <w:szCs w:val="22"/>
          <w:lang w:val="es-CO" w:eastAsia="es-CO"/>
        </w:rPr>
        <w:t>“Parágrafo 1o.-</w:t>
      </w:r>
      <w:r w:rsidRPr="00A014E9">
        <w:rPr>
          <w:rFonts w:ascii="Arial" w:hAnsi="Arial" w:cs="Arial"/>
          <w:i/>
          <w:iCs/>
          <w:sz w:val="22"/>
          <w:szCs w:val="22"/>
          <w:lang w:val="es-CO" w:eastAsia="es-CO"/>
        </w:rPr>
        <w:t xml:space="preserve"> En contra de la orden de policía o la medida correctiva, procederá el recurso de apelación, </w:t>
      </w:r>
      <w:r w:rsidRPr="00A014E9">
        <w:rPr>
          <w:rFonts w:ascii="Arial" w:hAnsi="Arial" w:cs="Arial"/>
          <w:b/>
          <w:i/>
          <w:iCs/>
          <w:sz w:val="22"/>
          <w:szCs w:val="22"/>
          <w:u w:val="single"/>
          <w:lang w:val="es-CO" w:eastAsia="es-CO"/>
        </w:rPr>
        <w:t>el cual se concederá en el efecto devolutivo</w:t>
      </w:r>
      <w:r w:rsidRPr="00A014E9">
        <w:rPr>
          <w:rFonts w:ascii="Arial" w:hAnsi="Arial" w:cs="Arial"/>
          <w:i/>
          <w:iCs/>
          <w:sz w:val="22"/>
          <w:szCs w:val="22"/>
          <w:lang w:val="es-CO" w:eastAsia="es-CO"/>
        </w:rPr>
        <w:t xml:space="preserve"> y se remitirá al inspector de policía dentro de las veinticuatro (24) horas siguientes. </w:t>
      </w:r>
      <w:r w:rsidRPr="00A014E9">
        <w:rPr>
          <w:rFonts w:ascii="Arial" w:hAnsi="Arial" w:cs="Arial"/>
          <w:b/>
          <w:bCs/>
          <w:i/>
          <w:iCs/>
          <w:sz w:val="22"/>
          <w:szCs w:val="22"/>
          <w:u w:val="single"/>
          <w:lang w:val="es-CO" w:eastAsia="es-CO"/>
        </w:rPr>
        <w:t>El recurso de apelación se resolverá dentro de los tres (3) días hábiles siguientes al recibo de la actuación</w:t>
      </w:r>
      <w:r w:rsidRPr="00A014E9">
        <w:rPr>
          <w:rFonts w:ascii="Arial" w:hAnsi="Arial" w:cs="Arial"/>
          <w:i/>
          <w:iCs/>
          <w:sz w:val="22"/>
          <w:szCs w:val="22"/>
          <w:lang w:val="es-CO" w:eastAsia="es-CO"/>
        </w:rPr>
        <w:t xml:space="preserve"> y será notificado por medio más eficaz y </w:t>
      </w:r>
      <w:proofErr w:type="gramStart"/>
      <w:r w:rsidRPr="00A014E9">
        <w:rPr>
          <w:rFonts w:ascii="Arial" w:hAnsi="Arial" w:cs="Arial"/>
          <w:i/>
          <w:iCs/>
          <w:sz w:val="22"/>
          <w:szCs w:val="22"/>
          <w:lang w:val="es-CO" w:eastAsia="es-CO"/>
        </w:rPr>
        <w:t>expedito.</w:t>
      </w:r>
      <w:r w:rsidRPr="00A014E9">
        <w:rPr>
          <w:rFonts w:ascii="Arial" w:hAnsi="Arial" w:cs="Arial"/>
          <w:i/>
          <w:sz w:val="22"/>
          <w:szCs w:val="22"/>
          <w:lang w:val="es-CO" w:eastAsia="es-CO"/>
        </w:rPr>
        <w:t>(</w:t>
      </w:r>
      <w:proofErr w:type="gramEnd"/>
      <w:r w:rsidRPr="00A014E9">
        <w:rPr>
          <w:rFonts w:ascii="Arial" w:hAnsi="Arial" w:cs="Arial"/>
          <w:i/>
          <w:sz w:val="22"/>
          <w:szCs w:val="22"/>
          <w:lang w:val="es-CO" w:eastAsia="es-CO"/>
        </w:rPr>
        <w:t>…)</w:t>
      </w:r>
      <w:r w:rsidRPr="00A014E9">
        <w:rPr>
          <w:rFonts w:ascii="Arial" w:hAnsi="Arial" w:cs="Arial"/>
          <w:sz w:val="22"/>
          <w:szCs w:val="22"/>
          <w:lang w:val="es-CO" w:eastAsia="es-CO"/>
        </w:rPr>
        <w:t>.” (Resaltado fuera de texto)</w:t>
      </w:r>
    </w:p>
    <w:p w14:paraId="453C8072" w14:textId="77777777" w:rsidR="00A014E9" w:rsidRPr="00A014E9" w:rsidRDefault="00A014E9" w:rsidP="00A014E9">
      <w:pPr>
        <w:ind w:right="407"/>
        <w:jc w:val="both"/>
        <w:rPr>
          <w:rFonts w:ascii="Arial" w:hAnsi="Arial" w:cs="Arial"/>
          <w:bCs/>
          <w:sz w:val="24"/>
          <w:szCs w:val="24"/>
          <w:lang w:val="es-CO" w:eastAsia="es-CO"/>
        </w:rPr>
      </w:pPr>
    </w:p>
    <w:p w14:paraId="3D18661D" w14:textId="56A65F1D" w:rsidR="00A014E9" w:rsidRPr="00A014E9" w:rsidRDefault="00A014E9" w:rsidP="00A014E9">
      <w:pPr>
        <w:ind w:right="49"/>
        <w:jc w:val="both"/>
        <w:rPr>
          <w:rFonts w:ascii="Arial" w:hAnsi="Arial" w:cs="Arial"/>
          <w:bCs/>
          <w:sz w:val="24"/>
          <w:szCs w:val="24"/>
          <w:lang w:val="es-CO" w:eastAsia="es-CO"/>
        </w:rPr>
      </w:pPr>
      <w:r w:rsidRPr="00A014E9">
        <w:rPr>
          <w:rFonts w:ascii="Arial" w:hAnsi="Arial" w:cs="Arial"/>
          <w:bCs/>
          <w:sz w:val="24"/>
          <w:szCs w:val="24"/>
          <w:lang w:val="es-CO" w:eastAsia="es-CO"/>
        </w:rPr>
        <w:lastRenderedPageBreak/>
        <w:t>Al respecto</w:t>
      </w:r>
      <w:r w:rsidR="00732433">
        <w:rPr>
          <w:rFonts w:ascii="Arial" w:hAnsi="Arial" w:cs="Arial"/>
          <w:bCs/>
          <w:sz w:val="24"/>
          <w:szCs w:val="24"/>
          <w:lang w:val="es-CO" w:eastAsia="es-CO"/>
        </w:rPr>
        <w:t>,</w:t>
      </w:r>
      <w:r w:rsidRPr="00A014E9">
        <w:rPr>
          <w:rFonts w:ascii="Arial" w:hAnsi="Arial" w:cs="Arial"/>
          <w:bCs/>
          <w:sz w:val="24"/>
          <w:szCs w:val="24"/>
          <w:lang w:val="es-CO" w:eastAsia="es-CO"/>
        </w:rPr>
        <w:t xml:space="preserve"> señaló la Corte Constitucional en Sentencia C-282 de 2017, al declarar la </w:t>
      </w:r>
      <w:proofErr w:type="spellStart"/>
      <w:r w:rsidRPr="00A014E9">
        <w:rPr>
          <w:rFonts w:ascii="Arial" w:hAnsi="Arial" w:cs="Arial"/>
          <w:bCs/>
          <w:sz w:val="24"/>
          <w:szCs w:val="24"/>
          <w:lang w:val="es-CO" w:eastAsia="es-CO"/>
        </w:rPr>
        <w:t>exequibilidad</w:t>
      </w:r>
      <w:proofErr w:type="spellEnd"/>
      <w:r w:rsidRPr="00A014E9">
        <w:rPr>
          <w:rFonts w:ascii="Arial" w:hAnsi="Arial" w:cs="Arial"/>
          <w:bCs/>
          <w:sz w:val="24"/>
          <w:szCs w:val="24"/>
          <w:lang w:val="es-CO" w:eastAsia="es-CO"/>
        </w:rPr>
        <w:t xml:space="preserve"> del artículo 222 de la ley mencionada:</w:t>
      </w:r>
    </w:p>
    <w:p w14:paraId="6C12320F" w14:textId="77777777" w:rsidR="00A014E9" w:rsidRPr="00A014E9" w:rsidRDefault="00A014E9" w:rsidP="00A014E9">
      <w:pPr>
        <w:ind w:left="426"/>
        <w:jc w:val="both"/>
        <w:rPr>
          <w:rFonts w:ascii="Arial" w:hAnsi="Arial" w:cs="Arial"/>
          <w:bCs/>
          <w:sz w:val="24"/>
          <w:szCs w:val="24"/>
          <w:lang w:val="es-CO" w:eastAsia="es-CO"/>
        </w:rPr>
      </w:pPr>
    </w:p>
    <w:p w14:paraId="11176D40" w14:textId="77777777" w:rsidR="00A014E9" w:rsidRPr="00A014E9" w:rsidRDefault="00A014E9" w:rsidP="00A014E9">
      <w:pPr>
        <w:ind w:left="426" w:right="332"/>
        <w:jc w:val="both"/>
        <w:rPr>
          <w:rFonts w:ascii="Arial" w:hAnsi="Arial" w:cs="Arial"/>
          <w:bCs/>
          <w:i/>
          <w:iCs/>
          <w:sz w:val="24"/>
          <w:szCs w:val="24"/>
          <w:lang w:val="es-CO" w:eastAsia="es-CO"/>
        </w:rPr>
      </w:pPr>
      <w:r w:rsidRPr="00A014E9">
        <w:rPr>
          <w:rFonts w:ascii="Arial" w:hAnsi="Arial" w:cs="Arial"/>
          <w:bCs/>
          <w:sz w:val="22"/>
          <w:szCs w:val="22"/>
          <w:lang w:val="es-CO" w:eastAsia="es-CO"/>
        </w:rPr>
        <w:t>“</w:t>
      </w:r>
      <w:r w:rsidRPr="00A014E9">
        <w:rPr>
          <w:rFonts w:ascii="Arial" w:hAnsi="Arial" w:cs="Arial"/>
          <w:bCs/>
          <w:i/>
          <w:iCs/>
          <w:sz w:val="22"/>
          <w:szCs w:val="22"/>
          <w:lang w:val="es-CO" w:eastAsia="es-CO"/>
        </w:rPr>
        <w:t xml:space="preserve">En materia procesal, </w:t>
      </w:r>
      <w:r w:rsidRPr="00A014E9">
        <w:rPr>
          <w:rFonts w:ascii="Arial" w:hAnsi="Arial" w:cs="Arial"/>
          <w:bCs/>
          <w:i/>
          <w:iCs/>
          <w:sz w:val="22"/>
          <w:szCs w:val="22"/>
          <w:u w:val="single"/>
          <w:lang w:val="es-CO" w:eastAsia="es-CO"/>
        </w:rPr>
        <w:t>los recursos se conciben como garantías</w:t>
      </w:r>
      <w:r w:rsidRPr="00A014E9">
        <w:rPr>
          <w:rFonts w:ascii="Arial" w:hAnsi="Arial" w:cs="Arial"/>
          <w:bCs/>
          <w:i/>
          <w:iCs/>
          <w:sz w:val="22"/>
          <w:szCs w:val="22"/>
          <w:lang w:val="es-CO" w:eastAsia="es-CO"/>
        </w:rPr>
        <w:t xml:space="preserve"> que permiten a las partes sometidas a una controversia o litigio discutir sobre las decisiones y someterlas a un nuevo escrutinio, por parte de la misma autoridad o por un superior jerárquico, con el objeto de obtener su revocatoria o modificación, acorde con los intereses de quien los promueve y con miras a lograr la realización de los fines que se persiguen con cada proceso</w:t>
      </w:r>
      <w:r w:rsidRPr="00A014E9">
        <w:rPr>
          <w:rFonts w:ascii="Arial" w:hAnsi="Arial" w:cs="Arial"/>
          <w:bCs/>
          <w:i/>
          <w:iCs/>
          <w:sz w:val="24"/>
          <w:szCs w:val="24"/>
          <w:lang w:val="es-CO" w:eastAsia="es-CO"/>
        </w:rPr>
        <w:t>.</w:t>
      </w:r>
    </w:p>
    <w:p w14:paraId="4AC6F735" w14:textId="77777777" w:rsidR="00A014E9" w:rsidRPr="00A014E9" w:rsidRDefault="00A014E9" w:rsidP="00A014E9">
      <w:pPr>
        <w:ind w:left="426"/>
        <w:jc w:val="both"/>
        <w:rPr>
          <w:rFonts w:ascii="Arial" w:hAnsi="Arial" w:cs="Arial"/>
          <w:bCs/>
          <w:i/>
          <w:iCs/>
          <w:sz w:val="24"/>
          <w:szCs w:val="24"/>
          <w:lang w:val="es-CO" w:eastAsia="es-CO"/>
        </w:rPr>
      </w:pPr>
    </w:p>
    <w:p w14:paraId="4E06869E" w14:textId="77777777" w:rsidR="00A014E9" w:rsidRPr="00A014E9" w:rsidRDefault="00A014E9" w:rsidP="00A014E9">
      <w:pPr>
        <w:ind w:left="426" w:right="332"/>
        <w:jc w:val="both"/>
        <w:rPr>
          <w:rFonts w:ascii="Arial" w:hAnsi="Arial" w:cs="Arial"/>
          <w:bCs/>
          <w:i/>
          <w:iCs/>
          <w:sz w:val="22"/>
          <w:szCs w:val="22"/>
          <w:lang w:val="es-CO" w:eastAsia="es-CO"/>
        </w:rPr>
      </w:pPr>
      <w:r w:rsidRPr="00A014E9">
        <w:rPr>
          <w:rFonts w:ascii="Arial" w:hAnsi="Arial" w:cs="Arial"/>
          <w:bCs/>
          <w:i/>
          <w:iCs/>
          <w:sz w:val="22"/>
          <w:szCs w:val="22"/>
          <w:lang w:val="es-CO" w:eastAsia="es-CO"/>
        </w:rPr>
        <w:t>La Constitución igualmente consagra un mandato general en el artículo 31, por virtud del cual: “Toda sentencia judicial podrá ser apelada o consultada, salvo las excepciones que consagre la ley”. Aun cuando de este precepto se deduce que no es imprescindible la aplicación de la doble instancia en todos los asuntos que son materia de decisión judicial, puesto que la ley se encuentra habilitada para introducir excepciones, dicha atribución no le otorga al legislador una facultad ilimitada hasta el punto de convertir esa singularidad en una regla absoluta. En este sentido, como lo ha sostenido de forma reiterada esta Corporación, las normas que introducen excepciones de las cuales depende la significación y alcance de una norma constitucional son de interpretación restrictiva</w:t>
      </w:r>
      <w:r w:rsidRPr="00A014E9">
        <w:rPr>
          <w:rFonts w:ascii="Arial" w:hAnsi="Arial" w:cs="Arial"/>
          <w:bCs/>
          <w:i/>
          <w:iCs/>
          <w:sz w:val="22"/>
          <w:szCs w:val="22"/>
          <w:vertAlign w:val="superscript"/>
          <w:lang w:val="es-CO" w:eastAsia="es-CO"/>
        </w:rPr>
        <w:footnoteReference w:id="1"/>
      </w:r>
      <w:r w:rsidRPr="00A014E9">
        <w:rPr>
          <w:rFonts w:ascii="Arial" w:hAnsi="Arial" w:cs="Arial"/>
          <w:bCs/>
          <w:i/>
          <w:iCs/>
          <w:sz w:val="22"/>
          <w:szCs w:val="22"/>
          <w:lang w:val="es-CO" w:eastAsia="es-CO"/>
        </w:rPr>
        <w:t xml:space="preserve">. </w:t>
      </w:r>
    </w:p>
    <w:p w14:paraId="6B67377C" w14:textId="77777777" w:rsidR="00A014E9" w:rsidRPr="00A014E9" w:rsidRDefault="00A014E9" w:rsidP="00A014E9">
      <w:pPr>
        <w:ind w:left="426"/>
        <w:jc w:val="both"/>
        <w:rPr>
          <w:rFonts w:ascii="Arial" w:hAnsi="Arial" w:cs="Arial"/>
          <w:bCs/>
          <w:i/>
          <w:iCs/>
          <w:sz w:val="24"/>
          <w:szCs w:val="24"/>
          <w:lang w:val="es-CO" w:eastAsia="es-CO"/>
        </w:rPr>
      </w:pPr>
    </w:p>
    <w:p w14:paraId="71C872F3" w14:textId="5207BFF3" w:rsidR="00A014E9" w:rsidRPr="00A014E9" w:rsidRDefault="00A014E9" w:rsidP="00A014E9">
      <w:pPr>
        <w:ind w:left="284" w:right="332"/>
        <w:jc w:val="both"/>
        <w:rPr>
          <w:rFonts w:ascii="Arial" w:hAnsi="Arial" w:cs="Arial"/>
          <w:bCs/>
          <w:i/>
          <w:iCs/>
          <w:sz w:val="22"/>
          <w:szCs w:val="22"/>
          <w:lang w:val="es-CO" w:eastAsia="es-CO"/>
        </w:rPr>
      </w:pPr>
      <w:r w:rsidRPr="00A014E9">
        <w:rPr>
          <w:rFonts w:ascii="Arial" w:hAnsi="Arial" w:cs="Arial"/>
          <w:bCs/>
          <w:i/>
          <w:iCs/>
          <w:sz w:val="22"/>
          <w:szCs w:val="22"/>
          <w:lang w:val="es-CO" w:eastAsia="es-CO"/>
        </w:rPr>
        <w:t>Desde esta perspectiva, si bien se ha dicho que la doble instancia no tiene un carácter imperativo</w:t>
      </w:r>
      <w:r w:rsidRPr="00A014E9">
        <w:rPr>
          <w:rFonts w:ascii="Arial" w:hAnsi="Arial" w:cs="Arial"/>
          <w:bCs/>
          <w:i/>
          <w:iCs/>
          <w:sz w:val="22"/>
          <w:szCs w:val="22"/>
          <w:vertAlign w:val="superscript"/>
          <w:lang w:val="es-CO" w:eastAsia="es-CO"/>
        </w:rPr>
        <w:footnoteReference w:id="2"/>
      </w:r>
      <w:r w:rsidRPr="00A014E9">
        <w:rPr>
          <w:rFonts w:ascii="Arial" w:hAnsi="Arial" w:cs="Arial"/>
          <w:bCs/>
          <w:i/>
          <w:iCs/>
          <w:sz w:val="22"/>
          <w:szCs w:val="22"/>
          <w:lang w:val="es-CO" w:eastAsia="es-CO"/>
        </w:rPr>
        <w:t xml:space="preserve"> y que, por ello, puede entenderse que su satisfacción no hace parte del núcleo esencial del derecho de defensa, también se ha admitido que toda restricción en su procedencia debe tener una lectura acorde con los mandatos dispuestos en la Constitución. Por esta razón, </w:t>
      </w:r>
      <w:r w:rsidRPr="00A014E9">
        <w:rPr>
          <w:rFonts w:ascii="Arial" w:hAnsi="Arial" w:cs="Arial"/>
          <w:bCs/>
          <w:i/>
          <w:iCs/>
          <w:sz w:val="22"/>
          <w:szCs w:val="22"/>
          <w:u w:val="single"/>
          <w:lang w:val="es-CO" w:eastAsia="es-CO"/>
        </w:rPr>
        <w:t>la ausencia de una consagración explícita en el texto constitucional de las circunstancias en las cuales resulta exigible la doble instancia en un determinado tipo de</w:t>
      </w:r>
      <w:r w:rsidR="00F0633A">
        <w:rPr>
          <w:rFonts w:ascii="Arial" w:hAnsi="Arial" w:cs="Arial"/>
          <w:bCs/>
          <w:i/>
          <w:iCs/>
          <w:sz w:val="22"/>
          <w:szCs w:val="22"/>
          <w:u w:val="single"/>
          <w:lang w:val="es-CO" w:eastAsia="es-CO"/>
        </w:rPr>
        <w:t xml:space="preserve"> </w:t>
      </w:r>
      <w:proofErr w:type="gramStart"/>
      <w:r w:rsidRPr="00A014E9">
        <w:rPr>
          <w:rFonts w:ascii="Arial" w:hAnsi="Arial" w:cs="Arial"/>
          <w:bCs/>
          <w:i/>
          <w:iCs/>
          <w:sz w:val="22"/>
          <w:szCs w:val="22"/>
          <w:u w:val="single"/>
          <w:lang w:val="es-CO" w:eastAsia="es-CO"/>
        </w:rPr>
        <w:t>proceso,</w:t>
      </w:r>
      <w:proofErr w:type="gramEnd"/>
      <w:r w:rsidR="00F0633A">
        <w:rPr>
          <w:rFonts w:ascii="Arial" w:hAnsi="Arial" w:cs="Arial"/>
          <w:bCs/>
          <w:i/>
          <w:iCs/>
          <w:sz w:val="22"/>
          <w:szCs w:val="22"/>
          <w:u w:val="single"/>
          <w:lang w:val="es-CO" w:eastAsia="es-CO"/>
        </w:rPr>
        <w:t xml:space="preserve"> </w:t>
      </w:r>
      <w:r w:rsidRPr="00A014E9">
        <w:rPr>
          <w:rFonts w:ascii="Arial" w:hAnsi="Arial" w:cs="Arial"/>
          <w:bCs/>
          <w:i/>
          <w:iCs/>
          <w:sz w:val="22"/>
          <w:szCs w:val="22"/>
          <w:u w:val="single"/>
          <w:lang w:val="es-CO" w:eastAsia="es-CO"/>
        </w:rPr>
        <w:t>no faculta al legislador para regular indiscriminadamente dicha garantía,</w:t>
      </w:r>
      <w:r w:rsidRPr="00A014E9">
        <w:rPr>
          <w:rFonts w:ascii="Arial" w:hAnsi="Arial" w:cs="Arial"/>
          <w:bCs/>
          <w:i/>
          <w:iCs/>
          <w:sz w:val="22"/>
          <w:szCs w:val="22"/>
          <w:lang w:val="es-CO" w:eastAsia="es-CO"/>
        </w:rPr>
        <w:t xml:space="preserve"> ya que los principios de razonabilidad y proporcionalidad conducen a la obligación de velar por la vigencia del contenido material de los distintos bienes jurídicos previstos en la Carta. </w:t>
      </w:r>
      <w:r w:rsidRPr="00A014E9">
        <w:rPr>
          <w:rFonts w:ascii="Arial" w:hAnsi="Arial" w:cs="Arial"/>
          <w:bCs/>
          <w:i/>
          <w:iCs/>
          <w:sz w:val="22"/>
          <w:szCs w:val="22"/>
          <w:u w:val="single"/>
          <w:lang w:val="es-CO" w:eastAsia="es-CO"/>
        </w:rPr>
        <w:t xml:space="preserve">Por ello, las exclusiones de las garantías idóneas y suficientes para la defensa de los derechos de los asociados en un determinado </w:t>
      </w:r>
      <w:proofErr w:type="gramStart"/>
      <w:r w:rsidRPr="00A014E9">
        <w:rPr>
          <w:rFonts w:ascii="Arial" w:hAnsi="Arial" w:cs="Arial"/>
          <w:bCs/>
          <w:i/>
          <w:iCs/>
          <w:sz w:val="22"/>
          <w:szCs w:val="22"/>
          <w:u w:val="single"/>
          <w:lang w:val="es-CO" w:eastAsia="es-CO"/>
        </w:rPr>
        <w:t>proceso,</w:t>
      </w:r>
      <w:proofErr w:type="gramEnd"/>
      <w:r w:rsidRPr="00A014E9">
        <w:rPr>
          <w:rFonts w:ascii="Arial" w:hAnsi="Arial" w:cs="Arial"/>
          <w:bCs/>
          <w:i/>
          <w:iCs/>
          <w:sz w:val="22"/>
          <w:szCs w:val="22"/>
          <w:u w:val="single"/>
          <w:lang w:val="es-CO" w:eastAsia="es-CO"/>
        </w:rPr>
        <w:t xml:space="preserve"> deben estar plenamente justificadas a partir de un principio de razón suficiente, vinculado con el logro de un fin constitucional válido</w:t>
      </w:r>
      <w:r w:rsidRPr="00A014E9">
        <w:rPr>
          <w:rFonts w:ascii="Arial" w:hAnsi="Arial" w:cs="Arial"/>
          <w:bCs/>
          <w:i/>
          <w:iCs/>
          <w:sz w:val="22"/>
          <w:szCs w:val="22"/>
          <w:lang w:val="es-CO" w:eastAsia="es-CO"/>
        </w:rPr>
        <w:t xml:space="preserve">. En otras palabras, tal como lo ha expuesto la Corte, es necesario que al momento de establecer </w:t>
      </w:r>
      <w:r w:rsidRPr="00A014E9">
        <w:rPr>
          <w:rFonts w:ascii="Arial" w:hAnsi="Arial" w:cs="Arial"/>
          <w:bCs/>
          <w:i/>
          <w:iCs/>
          <w:sz w:val="22"/>
          <w:szCs w:val="22"/>
          <w:u w:val="single"/>
          <w:lang w:val="es-CO" w:eastAsia="es-CO"/>
        </w:rPr>
        <w:t xml:space="preserve">alguna excepción al principio de la doble instancia exista algún elemento que justifique </w:t>
      </w:r>
      <w:r w:rsidRPr="00A014E9">
        <w:rPr>
          <w:rFonts w:ascii="Arial" w:hAnsi="Arial" w:cs="Arial"/>
          <w:bCs/>
          <w:i/>
          <w:iCs/>
          <w:sz w:val="22"/>
          <w:szCs w:val="22"/>
          <w:u w:val="single"/>
          <w:lang w:val="es-CO" w:eastAsia="es-CO"/>
        </w:rPr>
        <w:lastRenderedPageBreak/>
        <w:t>dicha limitación</w:t>
      </w:r>
      <w:r w:rsidRPr="00A014E9">
        <w:rPr>
          <w:rFonts w:ascii="Arial" w:hAnsi="Arial" w:cs="Arial"/>
          <w:bCs/>
          <w:i/>
          <w:iCs/>
          <w:sz w:val="22"/>
          <w:szCs w:val="22"/>
          <w:lang w:val="es-CO" w:eastAsia="es-CO"/>
        </w:rPr>
        <w:t xml:space="preserve">, una interpretación en otro sentido </w:t>
      </w:r>
      <w:r w:rsidRPr="00A014E9">
        <w:rPr>
          <w:rFonts w:ascii="Arial" w:hAnsi="Arial" w:cs="Arial"/>
          <w:bCs/>
          <w:i/>
          <w:iCs/>
          <w:sz w:val="22"/>
          <w:szCs w:val="22"/>
          <w:u w:val="single"/>
          <w:lang w:val="es-CO" w:eastAsia="es-CO"/>
        </w:rPr>
        <w:t>“conduciría a convertir la regla (doble instancia) en excepción (única instancia)”</w:t>
      </w:r>
      <w:r w:rsidRPr="00A014E9">
        <w:rPr>
          <w:rFonts w:ascii="Arial" w:hAnsi="Arial" w:cs="Arial"/>
          <w:bCs/>
          <w:i/>
          <w:iCs/>
          <w:sz w:val="22"/>
          <w:szCs w:val="22"/>
          <w:u w:val="single"/>
          <w:vertAlign w:val="superscript"/>
          <w:lang w:val="es-CO" w:eastAsia="es-CO"/>
        </w:rPr>
        <w:footnoteReference w:id="3"/>
      </w:r>
      <w:r w:rsidRPr="00A014E9">
        <w:rPr>
          <w:rFonts w:ascii="Arial" w:hAnsi="Arial" w:cs="Arial"/>
          <w:bCs/>
          <w:i/>
          <w:iCs/>
          <w:sz w:val="22"/>
          <w:szCs w:val="22"/>
          <w:u w:val="single"/>
          <w:lang w:val="es-CO" w:eastAsia="es-CO"/>
        </w:rPr>
        <w:t>.</w:t>
      </w:r>
    </w:p>
    <w:p w14:paraId="31EECB7D" w14:textId="77777777" w:rsidR="00A014E9" w:rsidRPr="00A014E9" w:rsidRDefault="00A014E9" w:rsidP="00A014E9">
      <w:pPr>
        <w:ind w:left="426"/>
        <w:jc w:val="both"/>
        <w:rPr>
          <w:rFonts w:ascii="Arial" w:hAnsi="Arial" w:cs="Arial"/>
          <w:bCs/>
          <w:i/>
          <w:iCs/>
          <w:sz w:val="24"/>
          <w:szCs w:val="24"/>
          <w:lang w:val="es-CO" w:eastAsia="es-CO"/>
        </w:rPr>
      </w:pPr>
    </w:p>
    <w:p w14:paraId="310153F3" w14:textId="77777777" w:rsidR="00A014E9" w:rsidRPr="00A014E9" w:rsidRDefault="00A014E9" w:rsidP="00A014E9">
      <w:pPr>
        <w:tabs>
          <w:tab w:val="left" w:pos="8222"/>
          <w:tab w:val="left" w:pos="8647"/>
        </w:tabs>
        <w:ind w:left="284" w:right="332"/>
        <w:jc w:val="both"/>
        <w:rPr>
          <w:rFonts w:ascii="Arial" w:hAnsi="Arial" w:cs="Arial"/>
          <w:bCs/>
          <w:i/>
          <w:iCs/>
          <w:sz w:val="22"/>
          <w:szCs w:val="22"/>
          <w:lang w:val="es-CO" w:eastAsia="es-CO"/>
        </w:rPr>
      </w:pPr>
      <w:r w:rsidRPr="00A014E9">
        <w:rPr>
          <w:rFonts w:ascii="Arial" w:hAnsi="Arial" w:cs="Arial"/>
          <w:bCs/>
          <w:i/>
          <w:iCs/>
          <w:sz w:val="22"/>
          <w:szCs w:val="22"/>
          <w:lang w:val="es-CO" w:eastAsia="es-CO"/>
        </w:rPr>
        <w:t>Por fuera de lo anterior, esto es, más allá de los casos en los que la propia Carta dispone la exigibilidad de determinados recursos y de la regulación que se dispone frente a la procedencia de la doble instancia, la posibilidad de que existan recursos adicionales (ordinarios o extraordinarios) depende de lo que la ley disponga, la cual, a menos que se introduzcan reglas contrarias al Texto Superior, por ejemplo, frente a la garantía de los principios de razonabilidad y proporcionalidad, no se reputa inconstitucional por el sólo hecho de estatuir que contra determinada decisión no caben recursos</w:t>
      </w:r>
      <w:r w:rsidRPr="00A014E9">
        <w:rPr>
          <w:rFonts w:ascii="Arial" w:hAnsi="Arial" w:cs="Arial"/>
          <w:bCs/>
          <w:i/>
          <w:iCs/>
          <w:sz w:val="22"/>
          <w:szCs w:val="22"/>
          <w:vertAlign w:val="superscript"/>
          <w:lang w:val="es-CO" w:eastAsia="es-CO"/>
        </w:rPr>
        <w:footnoteReference w:id="4"/>
      </w:r>
      <w:r w:rsidRPr="00A014E9">
        <w:rPr>
          <w:rFonts w:ascii="Arial" w:hAnsi="Arial" w:cs="Arial"/>
          <w:bCs/>
          <w:i/>
          <w:iCs/>
          <w:sz w:val="22"/>
          <w:szCs w:val="22"/>
          <w:lang w:val="es-CO" w:eastAsia="es-CO"/>
        </w:rPr>
        <w:t>.”</w:t>
      </w:r>
    </w:p>
    <w:p w14:paraId="1AFE6D71" w14:textId="77777777" w:rsidR="00A014E9" w:rsidRPr="00A014E9" w:rsidRDefault="00A014E9" w:rsidP="00A014E9">
      <w:pPr>
        <w:ind w:left="426"/>
        <w:jc w:val="both"/>
        <w:rPr>
          <w:rFonts w:ascii="Arial" w:hAnsi="Arial" w:cs="Arial"/>
          <w:bCs/>
          <w:i/>
          <w:iCs/>
          <w:sz w:val="24"/>
          <w:szCs w:val="24"/>
          <w:lang w:val="es-CO" w:eastAsia="es-CO"/>
        </w:rPr>
      </w:pPr>
    </w:p>
    <w:p w14:paraId="2DB94B90" w14:textId="77777777" w:rsidR="00A014E9" w:rsidRPr="00A014E9" w:rsidRDefault="00A014E9" w:rsidP="00A014E9">
      <w:pPr>
        <w:tabs>
          <w:tab w:val="left" w:pos="8789"/>
        </w:tabs>
        <w:ind w:right="49"/>
        <w:jc w:val="both"/>
        <w:rPr>
          <w:rFonts w:ascii="Arial" w:hAnsi="Arial" w:cs="Arial"/>
          <w:sz w:val="24"/>
          <w:szCs w:val="24"/>
          <w:lang w:val="es-CO" w:eastAsia="es-CO"/>
        </w:rPr>
      </w:pPr>
      <w:r w:rsidRPr="00A014E9">
        <w:rPr>
          <w:rFonts w:ascii="Arial" w:hAnsi="Arial" w:cs="Arial"/>
          <w:i/>
          <w:sz w:val="24"/>
          <w:szCs w:val="24"/>
          <w:lang w:val="es-CO" w:eastAsia="es-CO"/>
        </w:rPr>
        <w:t xml:space="preserve"> </w:t>
      </w:r>
      <w:r w:rsidRPr="00A014E9">
        <w:rPr>
          <w:rFonts w:ascii="Arial" w:hAnsi="Arial" w:cs="Arial"/>
          <w:sz w:val="24"/>
          <w:szCs w:val="24"/>
          <w:lang w:val="es-CO" w:eastAsia="es-CO"/>
        </w:rPr>
        <w:t xml:space="preserve">De los textos legales y jurisprudenciales transcritos se evidencian tres aspectos que permiten resolver la consulta, a saber: </w:t>
      </w:r>
    </w:p>
    <w:p w14:paraId="3894A00A" w14:textId="77777777" w:rsidR="00A014E9" w:rsidRPr="00A014E9" w:rsidRDefault="00A014E9" w:rsidP="00A014E9">
      <w:pPr>
        <w:jc w:val="both"/>
        <w:rPr>
          <w:rFonts w:ascii="Arial" w:hAnsi="Arial" w:cs="Arial"/>
          <w:sz w:val="24"/>
          <w:szCs w:val="24"/>
          <w:lang w:val="es-CO" w:eastAsia="es-CO"/>
        </w:rPr>
      </w:pPr>
      <w:r w:rsidRPr="00A014E9">
        <w:rPr>
          <w:rFonts w:ascii="Arial" w:hAnsi="Arial" w:cs="Arial"/>
          <w:sz w:val="24"/>
          <w:szCs w:val="24"/>
          <w:lang w:val="es-CO" w:eastAsia="es-CO"/>
        </w:rPr>
        <w:t xml:space="preserve"> </w:t>
      </w:r>
    </w:p>
    <w:p w14:paraId="38CC7979" w14:textId="77777777" w:rsidR="00A014E9" w:rsidRPr="00A014E9" w:rsidRDefault="00A014E9" w:rsidP="00A014E9">
      <w:pPr>
        <w:numPr>
          <w:ilvl w:val="0"/>
          <w:numId w:val="15"/>
        </w:numPr>
        <w:ind w:left="567" w:right="20" w:hanging="501"/>
        <w:contextualSpacing/>
        <w:jc w:val="both"/>
        <w:rPr>
          <w:rFonts w:ascii="Arial" w:hAnsi="Arial" w:cs="Arial"/>
          <w:sz w:val="24"/>
          <w:szCs w:val="24"/>
          <w:lang w:val="es-CO" w:eastAsia="es-CO"/>
        </w:rPr>
      </w:pPr>
      <w:r w:rsidRPr="00A014E9">
        <w:rPr>
          <w:rFonts w:ascii="Arial" w:hAnsi="Arial" w:cs="Arial"/>
          <w:sz w:val="24"/>
          <w:szCs w:val="24"/>
          <w:lang w:val="es-CO" w:eastAsia="es-CO"/>
        </w:rPr>
        <w:t xml:space="preserve">El pago pronto de una multa no constituye reconocimiento de la responsabilidad por parte del ciudadano; simplemente se trata de su voluntad de hacer menos gravosa su situación mientras ejerce su legítima defensa mediante los recursos de ley.    </w:t>
      </w:r>
      <w:bookmarkStart w:id="1" w:name="_Hlk48727971"/>
      <w:r w:rsidRPr="00A014E9">
        <w:rPr>
          <w:rFonts w:ascii="Arial" w:hAnsi="Arial" w:cs="Arial"/>
          <w:sz w:val="24"/>
          <w:szCs w:val="24"/>
          <w:lang w:val="es-CO" w:eastAsia="es-CO"/>
        </w:rPr>
        <w:t>El beneficio otorgado con el descuento por pronto pago no supone la renuncia del ciudadano</w:t>
      </w:r>
      <w:bookmarkStart w:id="2" w:name="_Hlk48728125"/>
      <w:bookmarkEnd w:id="1"/>
      <w:r w:rsidRPr="00A014E9">
        <w:rPr>
          <w:rFonts w:ascii="Arial" w:hAnsi="Arial" w:cs="Arial"/>
          <w:sz w:val="24"/>
          <w:szCs w:val="24"/>
          <w:lang w:val="es-CO" w:eastAsia="es-CO"/>
        </w:rPr>
        <w:t xml:space="preserve"> a impugnar el comparendo </w:t>
      </w:r>
      <w:bookmarkEnd w:id="2"/>
      <w:r w:rsidRPr="00A014E9">
        <w:rPr>
          <w:rFonts w:ascii="Arial" w:hAnsi="Arial" w:cs="Arial"/>
          <w:sz w:val="24"/>
          <w:szCs w:val="24"/>
          <w:lang w:val="es-CO" w:eastAsia="es-CO"/>
        </w:rPr>
        <w:t xml:space="preserve">y a que se adelante el correspondiente proceso verbal abreviado. </w:t>
      </w:r>
    </w:p>
    <w:p w14:paraId="175CE8A2" w14:textId="77777777" w:rsidR="00A014E9" w:rsidRPr="00A014E9" w:rsidRDefault="00A014E9" w:rsidP="00A014E9">
      <w:pPr>
        <w:ind w:right="20"/>
        <w:jc w:val="both"/>
        <w:rPr>
          <w:rFonts w:ascii="Arial" w:hAnsi="Arial" w:cs="Arial"/>
          <w:sz w:val="24"/>
          <w:szCs w:val="24"/>
          <w:lang w:val="es-CO" w:eastAsia="es-CO"/>
        </w:rPr>
      </w:pPr>
    </w:p>
    <w:p w14:paraId="625541E0" w14:textId="46FF25A4" w:rsidR="00A014E9" w:rsidRPr="00A014E9" w:rsidRDefault="00A014E9" w:rsidP="00A014E9">
      <w:pPr>
        <w:numPr>
          <w:ilvl w:val="0"/>
          <w:numId w:val="15"/>
        </w:numPr>
        <w:ind w:left="567" w:right="20" w:hanging="567"/>
        <w:contextualSpacing/>
        <w:jc w:val="both"/>
        <w:rPr>
          <w:rFonts w:ascii="Arial" w:hAnsi="Arial" w:cs="Arial"/>
          <w:sz w:val="24"/>
          <w:szCs w:val="24"/>
          <w:lang w:val="es-CO" w:eastAsia="es-CO"/>
        </w:rPr>
      </w:pPr>
      <w:r w:rsidRPr="00A014E9">
        <w:rPr>
          <w:rFonts w:ascii="Arial" w:hAnsi="Arial" w:cs="Arial"/>
          <w:sz w:val="24"/>
          <w:szCs w:val="24"/>
          <w:lang w:val="es-CO" w:eastAsia="es-CO"/>
        </w:rPr>
        <w:t xml:space="preserve">De otra parte, el pago de la multa no afecta el derecho de defensa del administrado, en el sentido de interponer los recursos legales, como los de reposición y apelación contra los actos administrativos. </w:t>
      </w:r>
    </w:p>
    <w:p w14:paraId="7BCD22F6" w14:textId="77777777" w:rsidR="00A014E9" w:rsidRPr="00A014E9" w:rsidRDefault="00A014E9" w:rsidP="00A014E9">
      <w:pPr>
        <w:ind w:right="20"/>
        <w:jc w:val="both"/>
        <w:rPr>
          <w:rFonts w:ascii="Arial" w:hAnsi="Arial" w:cs="Arial"/>
          <w:sz w:val="24"/>
          <w:szCs w:val="24"/>
          <w:lang w:val="es-CO" w:eastAsia="es-CO"/>
        </w:rPr>
      </w:pPr>
    </w:p>
    <w:p w14:paraId="07C3297D" w14:textId="77777777" w:rsidR="00A014E9" w:rsidRPr="00A014E9" w:rsidRDefault="00A014E9" w:rsidP="00A014E9">
      <w:pPr>
        <w:numPr>
          <w:ilvl w:val="0"/>
          <w:numId w:val="15"/>
        </w:numPr>
        <w:ind w:left="567" w:hanging="567"/>
        <w:contextualSpacing/>
        <w:jc w:val="both"/>
        <w:rPr>
          <w:rFonts w:ascii="Arial" w:hAnsi="Arial" w:cs="Arial"/>
          <w:sz w:val="24"/>
          <w:szCs w:val="24"/>
          <w:lang w:val="es-CO" w:eastAsia="es-CO"/>
        </w:rPr>
      </w:pPr>
      <w:r w:rsidRPr="00A014E9">
        <w:rPr>
          <w:rFonts w:ascii="Arial" w:hAnsi="Arial" w:cs="Arial"/>
          <w:sz w:val="24"/>
          <w:szCs w:val="24"/>
          <w:lang w:val="es-CO" w:eastAsia="es-CO"/>
        </w:rPr>
        <w:t xml:space="preserve">En este orden de ideas, la Dirección Jurídica de la Secretaría Distrital de Hacienda, coincide con los manifestados por la Secretaría de Seguridad, Convivencia y Justicia así: </w:t>
      </w:r>
    </w:p>
    <w:p w14:paraId="651B4619" w14:textId="77777777" w:rsidR="00A014E9" w:rsidRPr="00A014E9" w:rsidRDefault="00A014E9" w:rsidP="00A014E9">
      <w:pPr>
        <w:ind w:left="720"/>
        <w:contextualSpacing/>
        <w:jc w:val="both"/>
        <w:rPr>
          <w:rFonts w:ascii="Arial" w:hAnsi="Arial" w:cs="Arial"/>
          <w:sz w:val="24"/>
          <w:szCs w:val="24"/>
          <w:lang w:val="es-CO" w:eastAsia="es-CO"/>
        </w:rPr>
      </w:pPr>
    </w:p>
    <w:p w14:paraId="625D14EE" w14:textId="77777777" w:rsidR="00A014E9" w:rsidRPr="00A014E9" w:rsidRDefault="00A014E9" w:rsidP="00A014E9">
      <w:pPr>
        <w:ind w:left="567" w:right="332"/>
        <w:jc w:val="both"/>
        <w:rPr>
          <w:rFonts w:ascii="Arial" w:hAnsi="Arial" w:cs="Arial"/>
          <w:i/>
          <w:iCs/>
          <w:sz w:val="22"/>
          <w:szCs w:val="22"/>
          <w:lang w:val="es-CO" w:eastAsia="es-CO"/>
        </w:rPr>
      </w:pPr>
      <w:r w:rsidRPr="00A014E9">
        <w:rPr>
          <w:rFonts w:ascii="Arial" w:hAnsi="Arial" w:cs="Arial"/>
          <w:i/>
          <w:iCs/>
          <w:sz w:val="22"/>
          <w:szCs w:val="22"/>
          <w:lang w:val="es-CO" w:eastAsia="es-CO"/>
        </w:rPr>
        <w:t>“.</w:t>
      </w:r>
      <w:r w:rsidRPr="00A014E9">
        <w:rPr>
          <w:rFonts w:ascii="Arial" w:hAnsi="Arial" w:cs="Arial"/>
          <w:sz w:val="22"/>
          <w:szCs w:val="22"/>
          <w:lang w:val="es-CO" w:eastAsia="es-CO"/>
        </w:rPr>
        <w:t xml:space="preserve"> </w:t>
      </w:r>
      <w:r w:rsidRPr="00A014E9">
        <w:rPr>
          <w:rFonts w:ascii="Arial" w:hAnsi="Arial" w:cs="Arial"/>
          <w:i/>
          <w:iCs/>
          <w:sz w:val="22"/>
          <w:szCs w:val="22"/>
          <w:lang w:val="es-CO" w:eastAsia="es-CO"/>
        </w:rPr>
        <w:t>Es decir, que el hecho de que el ciudadano se acoja al descuento por pronto pago que prevé la norma, no significa que no se deba adelantar el trámite del proceso verbal abreviado previsto en el artículo 223, pues la norma en ninguna parte dispone que en estos eventos se obvie el trámite del proceso verbal diseñado como garantía del debido proceso y derecho de defensa que le asiste a todos los ciudadanos. . .</w:t>
      </w:r>
      <w:r w:rsidRPr="00A014E9">
        <w:rPr>
          <w:rFonts w:ascii="Arial" w:hAnsi="Arial" w:cs="Arial"/>
          <w:sz w:val="22"/>
          <w:szCs w:val="22"/>
          <w:lang w:val="es-CO" w:eastAsia="es-CO"/>
        </w:rPr>
        <w:t xml:space="preserve"> </w:t>
      </w:r>
      <w:r w:rsidRPr="00A014E9">
        <w:rPr>
          <w:rFonts w:ascii="Arial" w:hAnsi="Arial" w:cs="Arial"/>
          <w:i/>
          <w:iCs/>
          <w:sz w:val="22"/>
          <w:szCs w:val="22"/>
          <w:lang w:val="es-CO" w:eastAsia="es-CO"/>
        </w:rPr>
        <w:t xml:space="preserve">el </w:t>
      </w:r>
      <w:r w:rsidRPr="00A014E9">
        <w:rPr>
          <w:rFonts w:ascii="Arial" w:hAnsi="Arial" w:cs="Arial"/>
          <w:i/>
          <w:iCs/>
          <w:sz w:val="22"/>
          <w:szCs w:val="22"/>
          <w:lang w:val="es-CO" w:eastAsia="es-CO"/>
        </w:rPr>
        <w:lastRenderedPageBreak/>
        <w:t>hecho de que un ciudadano decida acogerse a la prerrogativa del pago con descuento no necesariamente significa que esté asumiendo la responsabilidad de la comisión de la conducta señalada por la autoridad de policía, contrario a ello, la decisión de pago podría obedecer a la natural necesidad de evitar un mayor esfuerzo económico en el evento de que llegara a ser declarado infractor.”</w:t>
      </w:r>
    </w:p>
    <w:p w14:paraId="27F8E539" w14:textId="77777777" w:rsidR="00A014E9" w:rsidRPr="00A014E9" w:rsidRDefault="00A014E9" w:rsidP="00A014E9">
      <w:pPr>
        <w:ind w:left="-5" w:hanging="10"/>
        <w:jc w:val="both"/>
        <w:rPr>
          <w:rFonts w:ascii="Arial" w:hAnsi="Arial" w:cs="Arial"/>
          <w:sz w:val="24"/>
          <w:szCs w:val="24"/>
          <w:lang w:val="es-CO" w:eastAsia="es-CO"/>
        </w:rPr>
      </w:pPr>
    </w:p>
    <w:p w14:paraId="1CA95421" w14:textId="77777777" w:rsidR="00A014E9" w:rsidRPr="00A014E9" w:rsidRDefault="00A014E9" w:rsidP="00A014E9">
      <w:pPr>
        <w:jc w:val="both"/>
        <w:rPr>
          <w:rFonts w:ascii="Arial" w:hAnsi="Arial" w:cs="Arial"/>
          <w:b/>
          <w:bCs/>
          <w:sz w:val="24"/>
          <w:szCs w:val="24"/>
          <w:lang w:val="es-CO" w:eastAsia="es-CO"/>
        </w:rPr>
      </w:pPr>
      <w:r w:rsidRPr="00A014E9">
        <w:rPr>
          <w:rFonts w:ascii="Arial" w:hAnsi="Arial" w:cs="Arial"/>
          <w:b/>
          <w:bCs/>
          <w:sz w:val="24"/>
          <w:szCs w:val="24"/>
          <w:lang w:val="es-CO" w:eastAsia="es-CO"/>
        </w:rPr>
        <w:t>CONCLUSIONES</w:t>
      </w:r>
    </w:p>
    <w:p w14:paraId="270D3B60" w14:textId="77777777" w:rsidR="00A014E9" w:rsidRPr="00A014E9" w:rsidRDefault="00A014E9" w:rsidP="00A014E9">
      <w:pPr>
        <w:jc w:val="both"/>
        <w:rPr>
          <w:rFonts w:ascii="Arial" w:hAnsi="Arial" w:cs="Arial"/>
          <w:sz w:val="24"/>
          <w:szCs w:val="24"/>
          <w:lang w:val="es-CO" w:eastAsia="es-CO"/>
        </w:rPr>
      </w:pPr>
    </w:p>
    <w:p w14:paraId="3727E363" w14:textId="77777777" w:rsidR="00A014E9" w:rsidRPr="00A014E9" w:rsidRDefault="00A014E9" w:rsidP="00A014E9">
      <w:pPr>
        <w:jc w:val="both"/>
        <w:rPr>
          <w:rFonts w:ascii="Arial" w:hAnsi="Arial" w:cs="Arial"/>
          <w:b/>
          <w:bCs/>
          <w:i/>
          <w:iCs/>
          <w:sz w:val="24"/>
          <w:szCs w:val="24"/>
          <w:lang w:val="es-CO" w:eastAsia="es-CO"/>
        </w:rPr>
      </w:pPr>
      <w:r w:rsidRPr="00A014E9">
        <w:rPr>
          <w:rFonts w:ascii="Arial" w:hAnsi="Arial" w:cs="Arial"/>
          <w:b/>
          <w:bCs/>
          <w:i/>
          <w:iCs/>
          <w:sz w:val="24"/>
          <w:szCs w:val="24"/>
          <w:lang w:val="es-CO" w:eastAsia="es-CO"/>
        </w:rPr>
        <w:t>¿Es viable jurídicamente considerar que el descuento por el pago pronto de una multa, previsto en el inciso 3 del parágrafo del Artículo 180 de la Ley 1801 de 2016, constituye una asunción de responsabilidad de la conducta contraria a la convivencia por parte del ciudadano?</w:t>
      </w:r>
    </w:p>
    <w:p w14:paraId="104B1B1E" w14:textId="77777777" w:rsidR="00A014E9" w:rsidRPr="00A014E9" w:rsidRDefault="00A014E9" w:rsidP="00A014E9">
      <w:pPr>
        <w:ind w:left="-5" w:hanging="10"/>
        <w:jc w:val="both"/>
        <w:rPr>
          <w:rFonts w:ascii="Arial" w:hAnsi="Arial" w:cs="Arial"/>
          <w:sz w:val="24"/>
          <w:szCs w:val="24"/>
          <w:lang w:val="es-CO" w:eastAsia="es-CO"/>
        </w:rPr>
      </w:pPr>
    </w:p>
    <w:p w14:paraId="2C5C12AF" w14:textId="665025ED" w:rsidR="00A014E9" w:rsidRPr="00A014E9" w:rsidRDefault="00A014E9" w:rsidP="00A014E9">
      <w:pPr>
        <w:ind w:left="-5" w:hanging="10"/>
        <w:jc w:val="both"/>
        <w:rPr>
          <w:rFonts w:ascii="Arial" w:hAnsi="Arial" w:cs="Arial"/>
          <w:sz w:val="24"/>
          <w:szCs w:val="24"/>
          <w:lang w:val="es-CO" w:eastAsia="es-CO"/>
        </w:rPr>
      </w:pPr>
      <w:r w:rsidRPr="00A014E9">
        <w:rPr>
          <w:rFonts w:ascii="Arial" w:hAnsi="Arial" w:cs="Arial"/>
          <w:sz w:val="24"/>
          <w:szCs w:val="24"/>
          <w:lang w:val="es-CO" w:eastAsia="es-CO"/>
        </w:rPr>
        <w:t>El pago pronto de una multa policiva no implica que los supuestos infractores de las normas de policía estén aceptando con este pago su responsabilidad. En este sentido, pueden ejercer los recursos que reconoce el Código de Policía, dentro de los términos previstos en la Ley 1801 de 2016.</w:t>
      </w:r>
    </w:p>
    <w:p w14:paraId="634593AC" w14:textId="77777777" w:rsidR="00A014E9" w:rsidRPr="00A014E9" w:rsidRDefault="00A014E9" w:rsidP="00A014E9">
      <w:pPr>
        <w:ind w:left="-5" w:hanging="10"/>
        <w:jc w:val="both"/>
        <w:rPr>
          <w:rFonts w:ascii="Arial" w:hAnsi="Arial" w:cs="Arial"/>
          <w:sz w:val="24"/>
          <w:szCs w:val="24"/>
          <w:lang w:val="es-CO" w:eastAsia="es-CO"/>
        </w:rPr>
      </w:pPr>
    </w:p>
    <w:p w14:paraId="305A43B9" w14:textId="77777777" w:rsidR="00A014E9" w:rsidRPr="00A014E9" w:rsidRDefault="00A014E9" w:rsidP="00A014E9">
      <w:pPr>
        <w:ind w:left="-5" w:hanging="10"/>
        <w:jc w:val="both"/>
        <w:rPr>
          <w:rFonts w:ascii="Arial" w:hAnsi="Arial" w:cs="Arial"/>
          <w:sz w:val="24"/>
          <w:szCs w:val="24"/>
          <w:lang w:val="es-CO" w:eastAsia="es-CO"/>
        </w:rPr>
      </w:pPr>
      <w:r w:rsidRPr="00A014E9">
        <w:rPr>
          <w:rFonts w:ascii="Arial" w:hAnsi="Arial" w:cs="Arial"/>
          <w:sz w:val="24"/>
          <w:szCs w:val="24"/>
          <w:lang w:val="es-CO" w:eastAsia="es-CO"/>
        </w:rPr>
        <w:t xml:space="preserve">En procura de impulsar la política de mejoramiento continuo en el procedimiento de Asesoría Jurídica, agradecemos verifique si el concepto emitido contribuyó a resolver de fondo el problema jurídico planteado. De no ser así, por favor informe a la Dirección Jurídica. </w:t>
      </w:r>
    </w:p>
    <w:p w14:paraId="11E4D478" w14:textId="77777777" w:rsidR="00A014E9" w:rsidRPr="00A014E9" w:rsidRDefault="00A014E9" w:rsidP="00A014E9">
      <w:pPr>
        <w:jc w:val="both"/>
        <w:rPr>
          <w:rFonts w:ascii="Arial" w:hAnsi="Arial" w:cs="Arial"/>
          <w:sz w:val="24"/>
          <w:szCs w:val="24"/>
          <w:lang w:val="es-CO" w:eastAsia="es-CO"/>
        </w:rPr>
      </w:pPr>
      <w:r w:rsidRPr="00A014E9">
        <w:rPr>
          <w:rFonts w:ascii="Arial" w:hAnsi="Arial" w:cs="Arial"/>
          <w:sz w:val="24"/>
          <w:szCs w:val="24"/>
          <w:lang w:val="es-CO" w:eastAsia="es-CO"/>
        </w:rPr>
        <w:t xml:space="preserve"> </w:t>
      </w:r>
    </w:p>
    <w:p w14:paraId="2F180BC9" w14:textId="1561DC4E" w:rsidR="00A014E9" w:rsidRPr="00A014E9" w:rsidRDefault="00A014E9" w:rsidP="00A014E9">
      <w:pPr>
        <w:jc w:val="both"/>
        <w:rPr>
          <w:rFonts w:ascii="Arial" w:hAnsi="Arial" w:cs="Arial"/>
          <w:sz w:val="24"/>
          <w:szCs w:val="24"/>
          <w:lang w:val="es-CO" w:eastAsia="es-CO"/>
        </w:rPr>
      </w:pPr>
      <w:r w:rsidRPr="00A014E9">
        <w:rPr>
          <w:rFonts w:ascii="Arial" w:hAnsi="Arial" w:cs="Arial"/>
          <w:sz w:val="24"/>
          <w:szCs w:val="24"/>
          <w:lang w:val="es-CO" w:eastAsia="es-CO"/>
        </w:rPr>
        <w:t xml:space="preserve"> </w:t>
      </w:r>
    </w:p>
    <w:p w14:paraId="4888F370" w14:textId="77777777" w:rsidR="00A014E9" w:rsidRPr="00A014E9" w:rsidRDefault="00A014E9" w:rsidP="00A014E9">
      <w:pPr>
        <w:jc w:val="both"/>
        <w:rPr>
          <w:rFonts w:ascii="Arial" w:hAnsi="Arial" w:cs="Arial"/>
          <w:sz w:val="24"/>
          <w:szCs w:val="24"/>
          <w:lang w:val="es-CO" w:eastAsia="es-CO"/>
        </w:rPr>
      </w:pPr>
    </w:p>
    <w:p w14:paraId="48EFEC39" w14:textId="77777777" w:rsidR="00A014E9" w:rsidRPr="00A014E9" w:rsidRDefault="00A014E9" w:rsidP="00A014E9">
      <w:pPr>
        <w:jc w:val="both"/>
        <w:rPr>
          <w:rFonts w:ascii="Arial" w:hAnsi="Arial" w:cs="Arial"/>
          <w:sz w:val="24"/>
          <w:szCs w:val="24"/>
          <w:lang w:val="es-CO" w:eastAsia="es-CO"/>
        </w:rPr>
      </w:pPr>
      <w:r w:rsidRPr="00A014E9">
        <w:rPr>
          <w:rFonts w:ascii="Arial" w:hAnsi="Arial" w:cs="Arial"/>
          <w:sz w:val="24"/>
          <w:szCs w:val="24"/>
          <w:lang w:val="es-CO" w:eastAsia="es-CO"/>
        </w:rPr>
        <w:t xml:space="preserve"> </w:t>
      </w:r>
    </w:p>
    <w:p w14:paraId="37462D0F" w14:textId="77777777" w:rsidR="00A014E9" w:rsidRPr="00A014E9" w:rsidRDefault="00A014E9" w:rsidP="00A014E9">
      <w:pPr>
        <w:ind w:left="-5" w:hanging="10"/>
        <w:jc w:val="both"/>
        <w:rPr>
          <w:rFonts w:ascii="Arial" w:hAnsi="Arial" w:cs="Arial"/>
          <w:sz w:val="24"/>
          <w:szCs w:val="24"/>
          <w:lang w:val="es-CO" w:eastAsia="es-CO"/>
        </w:rPr>
      </w:pPr>
      <w:r w:rsidRPr="00A014E9">
        <w:rPr>
          <w:rFonts w:ascii="Arial" w:hAnsi="Arial" w:cs="Arial"/>
          <w:b/>
          <w:sz w:val="24"/>
          <w:szCs w:val="24"/>
          <w:lang w:val="es-CO" w:eastAsia="es-CO"/>
        </w:rPr>
        <w:t xml:space="preserve">LEONARDO ARTURO PAZOS GALINDO </w:t>
      </w:r>
    </w:p>
    <w:p w14:paraId="1A3B76F0" w14:textId="0BA73BF4" w:rsidR="00A014E9" w:rsidRDefault="00A014E9" w:rsidP="00A014E9">
      <w:pPr>
        <w:ind w:left="-5" w:hanging="10"/>
        <w:jc w:val="both"/>
        <w:rPr>
          <w:rFonts w:ascii="Arial" w:hAnsi="Arial" w:cs="Arial"/>
          <w:sz w:val="24"/>
          <w:szCs w:val="24"/>
          <w:lang w:val="es-CO" w:eastAsia="es-CO"/>
        </w:rPr>
      </w:pPr>
      <w:r w:rsidRPr="00A014E9">
        <w:rPr>
          <w:rFonts w:ascii="Arial" w:hAnsi="Arial" w:cs="Arial"/>
          <w:sz w:val="24"/>
          <w:szCs w:val="24"/>
          <w:lang w:val="es-CO" w:eastAsia="es-CO"/>
        </w:rPr>
        <w:t xml:space="preserve">Director Jurídico </w:t>
      </w:r>
    </w:p>
    <w:p w14:paraId="0A8C9981" w14:textId="62EFB9DC" w:rsidR="00C03DA0" w:rsidRDefault="00732433" w:rsidP="00C03DA0">
      <w:pPr>
        <w:ind w:left="-5" w:hanging="10"/>
        <w:jc w:val="both"/>
        <w:rPr>
          <w:rFonts w:ascii="Arial" w:hAnsi="Arial" w:cs="Arial"/>
          <w:sz w:val="24"/>
          <w:szCs w:val="24"/>
          <w:lang w:val="es-CO" w:eastAsia="es-CO"/>
        </w:rPr>
      </w:pPr>
      <w:hyperlink r:id="rId8" w:history="1">
        <w:r w:rsidR="00C03DA0" w:rsidRPr="00E97364">
          <w:rPr>
            <w:rStyle w:val="Hipervnculo"/>
            <w:rFonts w:ascii="Arial" w:hAnsi="Arial" w:cs="Arial"/>
            <w:sz w:val="24"/>
            <w:szCs w:val="24"/>
            <w:lang w:val="es-CO" w:eastAsia="es-CO"/>
          </w:rPr>
          <w:t>lpazos@shd.gov.co</w:t>
        </w:r>
      </w:hyperlink>
    </w:p>
    <w:p w14:paraId="764E8A89" w14:textId="29FF87C7" w:rsidR="00A014E9" w:rsidRDefault="00A014E9" w:rsidP="00C03DA0">
      <w:pPr>
        <w:ind w:left="-5" w:hanging="10"/>
        <w:jc w:val="both"/>
        <w:rPr>
          <w:rFonts w:ascii="Arial" w:hAnsi="Arial" w:cs="Arial"/>
          <w:sz w:val="24"/>
          <w:szCs w:val="24"/>
          <w:lang w:val="es-CO" w:eastAsia="es-CO"/>
        </w:rPr>
      </w:pPr>
      <w:r w:rsidRPr="00A014E9">
        <w:rPr>
          <w:rFonts w:ascii="Arial" w:hAnsi="Arial" w:cs="Arial"/>
          <w:sz w:val="24"/>
          <w:szCs w:val="24"/>
          <w:lang w:val="es-CO" w:eastAsia="es-CO"/>
        </w:rPr>
        <w:t xml:space="preserve"> </w:t>
      </w:r>
    </w:p>
    <w:p w14:paraId="4B08A8D2" w14:textId="3DF0E3E2" w:rsidR="00732433" w:rsidRDefault="00732433" w:rsidP="00C03DA0">
      <w:pPr>
        <w:ind w:left="-5" w:hanging="10"/>
        <w:jc w:val="both"/>
        <w:rPr>
          <w:rFonts w:ascii="Arial" w:hAnsi="Arial" w:cs="Arial"/>
          <w:sz w:val="24"/>
          <w:szCs w:val="24"/>
          <w:lang w:val="es-CO" w:eastAsia="es-CO"/>
        </w:rPr>
      </w:pPr>
    </w:p>
    <w:p w14:paraId="5D6330D0" w14:textId="77777777" w:rsidR="00732433" w:rsidRPr="00A014E9" w:rsidRDefault="00732433" w:rsidP="00C03DA0">
      <w:pPr>
        <w:ind w:left="-5" w:hanging="10"/>
        <w:jc w:val="both"/>
        <w:rPr>
          <w:rFonts w:ascii="Arial" w:hAnsi="Arial" w:cs="Arial"/>
          <w:sz w:val="24"/>
          <w:szCs w:val="24"/>
          <w:lang w:val="es-CO" w:eastAsia="es-CO"/>
        </w:rPr>
      </w:pPr>
    </w:p>
    <w:p w14:paraId="64C26939" w14:textId="7627549B" w:rsidR="00A014E9" w:rsidRPr="00732433" w:rsidRDefault="00A014E9" w:rsidP="00A014E9">
      <w:pPr>
        <w:ind w:firstLine="4"/>
        <w:jc w:val="both"/>
        <w:rPr>
          <w:rFonts w:ascii="Arial" w:hAnsi="Arial" w:cs="Arial"/>
          <w:lang w:val="es-CO" w:eastAsia="es-CO"/>
        </w:rPr>
      </w:pPr>
      <w:r w:rsidRPr="00732433">
        <w:rPr>
          <w:rFonts w:ascii="Arial" w:hAnsi="Arial" w:cs="Arial"/>
          <w:lang w:val="es-CO" w:eastAsia="es-CO"/>
        </w:rPr>
        <w:t xml:space="preserve">Copia informativa: Doctora Paula Johanna Ruiz Quintana, </w:t>
      </w:r>
      <w:proofErr w:type="gramStart"/>
      <w:r w:rsidRPr="00732433">
        <w:rPr>
          <w:rFonts w:ascii="Arial" w:hAnsi="Arial" w:cs="Arial"/>
          <w:lang w:val="es-CO" w:eastAsia="es-CO"/>
        </w:rPr>
        <w:t>Directora</w:t>
      </w:r>
      <w:proofErr w:type="gramEnd"/>
      <w:r w:rsidRPr="00732433">
        <w:rPr>
          <w:rFonts w:ascii="Arial" w:hAnsi="Arial" w:cs="Arial"/>
          <w:lang w:val="es-CO" w:eastAsia="es-CO"/>
        </w:rPr>
        <w:t xml:space="preserve"> Distrital de Doctrina y Asuntos Normativos, Alcaldía Mayor de Bogotá, NIT 899.999.061-9</w:t>
      </w:r>
      <w:r w:rsidR="00C03DA0" w:rsidRPr="00732433">
        <w:rPr>
          <w:rFonts w:ascii="Arial" w:hAnsi="Arial" w:cs="Arial"/>
          <w:lang w:val="es-CO" w:eastAsia="es-CO"/>
        </w:rPr>
        <w:t>, pjruizq@secretariajuridica.gov.co</w:t>
      </w:r>
    </w:p>
    <w:p w14:paraId="114BA8A5" w14:textId="77777777" w:rsidR="00A014E9" w:rsidRPr="00A014E9" w:rsidRDefault="00A014E9" w:rsidP="00A014E9">
      <w:pPr>
        <w:jc w:val="both"/>
        <w:rPr>
          <w:rFonts w:ascii="Arial" w:hAnsi="Arial" w:cs="Arial"/>
          <w:sz w:val="16"/>
          <w:szCs w:val="16"/>
          <w:lang w:val="es-CO" w:eastAsia="es-CO"/>
        </w:rPr>
      </w:pPr>
    </w:p>
    <w:p w14:paraId="71AB048F" w14:textId="2F753F44" w:rsidR="00A014E9" w:rsidRPr="00A014E9" w:rsidRDefault="00A014E9" w:rsidP="00D1458D">
      <w:pPr>
        <w:jc w:val="both"/>
        <w:rPr>
          <w:rFonts w:ascii="Arial" w:hAnsi="Arial" w:cs="Arial"/>
          <w:sz w:val="24"/>
          <w:szCs w:val="24"/>
          <w:lang w:val="es-CO" w:eastAsia="es-CO"/>
        </w:rPr>
      </w:pPr>
      <w:r w:rsidRPr="00A014E9">
        <w:rPr>
          <w:rFonts w:ascii="Arial" w:hAnsi="Arial" w:cs="Arial"/>
          <w:sz w:val="24"/>
          <w:szCs w:val="24"/>
          <w:lang w:val="es-CO" w:eastAsia="es-CO"/>
        </w:rPr>
        <w:t xml:space="preserve"> </w:t>
      </w:r>
    </w:p>
    <w:p w14:paraId="3327D745" w14:textId="77777777" w:rsidR="001D1133" w:rsidRPr="00A014E9" w:rsidRDefault="001D1133" w:rsidP="00A014E9">
      <w:pPr>
        <w:rPr>
          <w:lang w:val="es-CO"/>
        </w:rPr>
      </w:pPr>
    </w:p>
    <w:sectPr w:rsidR="001D1133" w:rsidRPr="00A014E9" w:rsidSect="00D069AB">
      <w:headerReference w:type="default" r:id="rId9"/>
      <w:footerReference w:type="even" r:id="rId10"/>
      <w:footerReference w:type="default" r:id="rId11"/>
      <w:pgSz w:w="12240" w:h="15840"/>
      <w:pgMar w:top="1985" w:right="1467" w:bottom="1985"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1C08A" w14:textId="77777777" w:rsidR="00045F46" w:rsidRDefault="00045F46" w:rsidP="001D1133">
      <w:r>
        <w:separator/>
      </w:r>
    </w:p>
  </w:endnote>
  <w:endnote w:type="continuationSeparator" w:id="0">
    <w:p w14:paraId="18FDF145" w14:textId="77777777" w:rsidR="00045F46" w:rsidRDefault="00045F46" w:rsidP="001D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A7FE" w14:textId="77777777" w:rsidR="005B322D" w:rsidRDefault="00732433">
    <w:pPr>
      <w:pStyle w:val="Piedepgina"/>
    </w:pPr>
  </w:p>
  <w:p w14:paraId="77F092C9" w14:textId="77777777" w:rsidR="00FA5EE7" w:rsidRDefault="00FB095C">
    <w:r>
      <w:rPr>
        <w:noProof/>
        <w:lang w:val="es-CO" w:eastAsia="es-CO"/>
      </w:rPr>
      <mc:AlternateContent>
        <mc:Choice Requires="wps">
          <w:drawing>
            <wp:anchor distT="0" distB="0" distL="114300" distR="114300" simplePos="0" relativeHeight="251659264" behindDoc="0" locked="0" layoutInCell="1" allowOverlap="1" wp14:anchorId="41F717F7" wp14:editId="3F5F404A">
              <wp:simplePos x="0" y="0"/>
              <wp:positionH relativeFrom="column">
                <wp:posOffset>2181860</wp:posOffset>
              </wp:positionH>
              <wp:positionV relativeFrom="paragraph">
                <wp:posOffset>9441180</wp:posOffset>
              </wp:positionV>
              <wp:extent cx="3928110" cy="40894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6DD99" w14:textId="77777777" w:rsidR="005B322D" w:rsidRPr="003533F0" w:rsidRDefault="00FB095C" w:rsidP="005B322D">
                          <w:pPr>
                            <w:jc w:val="center"/>
                            <w:rPr>
                              <w:rFonts w:ascii="Arial" w:hAnsi="Arial" w:cs="Arial"/>
                              <w:b/>
                              <w:bCs/>
                              <w:sz w:val="15"/>
                              <w:szCs w:val="15"/>
                            </w:rPr>
                          </w:pPr>
                          <w:r w:rsidRPr="003533F0">
                            <w:rPr>
                              <w:rFonts w:ascii="Arial" w:hAnsi="Arial" w:cs="Arial"/>
                              <w:b/>
                              <w:bCs/>
                              <w:sz w:val="15"/>
                              <w:szCs w:val="15"/>
                            </w:rPr>
                            <w:t>Sede Administrativa CAD Carrera 30 No. 25-90</w:t>
                          </w:r>
                        </w:p>
                        <w:p w14:paraId="18303B82" w14:textId="77777777" w:rsidR="005B322D" w:rsidRPr="003533F0" w:rsidRDefault="00FB095C" w:rsidP="005B322D">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0D67A6B2" w14:textId="77777777" w:rsidR="005B322D" w:rsidRPr="003533F0" w:rsidRDefault="00FB095C" w:rsidP="005B322D">
                          <w:pPr>
                            <w:jc w:val="center"/>
                            <w:rPr>
                              <w:rFonts w:ascii="Arial" w:hAnsi="Arial" w:cs="Arial"/>
                              <w:b/>
                              <w:bCs/>
                              <w:sz w:val="15"/>
                              <w:szCs w:val="15"/>
                            </w:rPr>
                          </w:pPr>
                          <w:r w:rsidRPr="003533F0">
                            <w:rPr>
                              <w:rFonts w:ascii="Arial" w:hAnsi="Arial" w:cs="Arial"/>
                              <w:b/>
                              <w:bCs/>
                              <w:sz w:val="15"/>
                              <w:szCs w:val="15"/>
                            </w:rPr>
                            <w:t xml:space="preserve">PBX 369 2700 - 338 5000 * </w:t>
                          </w:r>
                          <w:hyperlink r:id="rId1" w:history="1">
                            <w:r w:rsidRPr="003533F0">
                              <w:rPr>
                                <w:rStyle w:val="Hipervnculo"/>
                                <w:rFonts w:ascii="Arial" w:hAnsi="Arial" w:cs="Arial"/>
                                <w:b/>
                                <w:bCs/>
                                <w:sz w:val="15"/>
                                <w:szCs w:val="15"/>
                              </w:rPr>
                              <w:t>www.haciendabogota.gov.co</w:t>
                            </w:r>
                          </w:hyperlink>
                          <w:r w:rsidRPr="003533F0">
                            <w:rPr>
                              <w:rFonts w:ascii="Arial" w:hAnsi="Arial" w:cs="Arial"/>
                              <w:b/>
                              <w:bCs/>
                              <w:sz w:val="15"/>
                              <w:szCs w:val="15"/>
                            </w:rPr>
                            <w:t xml:space="preserve"> </w:t>
                          </w:r>
                          <w:proofErr w:type="gramStart"/>
                          <w:r w:rsidRPr="003533F0">
                            <w:rPr>
                              <w:rFonts w:ascii="Arial" w:hAnsi="Arial" w:cs="Arial"/>
                              <w:b/>
                              <w:bCs/>
                              <w:sz w:val="15"/>
                              <w:szCs w:val="15"/>
                            </w:rPr>
                            <w:t>*  Información</w:t>
                          </w:r>
                          <w:proofErr w:type="gramEnd"/>
                          <w:r w:rsidRPr="003533F0">
                            <w:rPr>
                              <w:rFonts w:ascii="Arial" w:hAnsi="Arial" w:cs="Arial"/>
                              <w:b/>
                              <w:bCs/>
                              <w:sz w:val="15"/>
                              <w:szCs w:val="15"/>
                            </w:rPr>
                            <w:t>: Línea 195</w:t>
                          </w:r>
                        </w:p>
                        <w:p w14:paraId="5C72C48B" w14:textId="77777777" w:rsidR="005B322D" w:rsidRDefault="00732433" w:rsidP="005B32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717F7" id="_x0000_t202" coordsize="21600,21600" o:spt="202" path="m,l,21600r21600,l21600,xe">
              <v:stroke joinstyle="miter"/>
              <v:path gradientshapeok="t" o:connecttype="rect"/>
            </v:shapetype>
            <v:shape id="Text Box 4" o:spid="_x0000_s1026" type="#_x0000_t202" style="position:absolute;margin-left:171.8pt;margin-top:743.4pt;width:309.3pt;height:3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" filled="f" stroked="f">
              <v:textbox>
                <w:txbxContent>
                  <w:p w14:paraId="70C6DD99" w14:textId="77777777" w:rsidR="005B322D" w:rsidRPr="003533F0" w:rsidRDefault="00FB095C" w:rsidP="005B322D">
                    <w:pPr>
                      <w:jc w:val="center"/>
                      <w:rPr>
                        <w:rFonts w:ascii="Arial" w:hAnsi="Arial" w:cs="Arial"/>
                        <w:b/>
                        <w:bCs/>
                        <w:sz w:val="15"/>
                        <w:szCs w:val="15"/>
                      </w:rPr>
                    </w:pPr>
                    <w:r w:rsidRPr="003533F0">
                      <w:rPr>
                        <w:rFonts w:ascii="Arial" w:hAnsi="Arial" w:cs="Arial"/>
                        <w:b/>
                        <w:bCs/>
                        <w:sz w:val="15"/>
                        <w:szCs w:val="15"/>
                      </w:rPr>
                      <w:t>Sede Administrativa CAD Carrera 30 No. 25-90</w:t>
                    </w:r>
                  </w:p>
                  <w:p w14:paraId="18303B82" w14:textId="77777777" w:rsidR="005B322D" w:rsidRPr="003533F0" w:rsidRDefault="00FB095C" w:rsidP="005B322D">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0D67A6B2" w14:textId="77777777" w:rsidR="005B322D" w:rsidRPr="003533F0" w:rsidRDefault="00FB095C" w:rsidP="005B322D">
                    <w:pPr>
                      <w:jc w:val="center"/>
                      <w:rPr>
                        <w:rFonts w:ascii="Arial" w:hAnsi="Arial" w:cs="Arial"/>
                        <w:b/>
                        <w:bCs/>
                        <w:sz w:val="15"/>
                        <w:szCs w:val="15"/>
                      </w:rPr>
                    </w:pPr>
                    <w:r w:rsidRPr="003533F0">
                      <w:rPr>
                        <w:rFonts w:ascii="Arial" w:hAnsi="Arial" w:cs="Arial"/>
                        <w:b/>
                        <w:bCs/>
                        <w:sz w:val="15"/>
                        <w:szCs w:val="15"/>
                      </w:rPr>
                      <w:t xml:space="preserve">PBX 369 2700 - 338 5000 * </w:t>
                    </w:r>
                    <w:hyperlink r:id="rId2" w:history="1">
                      <w:r w:rsidRPr="003533F0">
                        <w:rPr>
                          <w:rStyle w:val="Hipervnculo"/>
                          <w:rFonts w:ascii="Arial" w:hAnsi="Arial" w:cs="Arial"/>
                          <w:b/>
                          <w:bCs/>
                          <w:sz w:val="15"/>
                          <w:szCs w:val="15"/>
                        </w:rPr>
                        <w:t>www.haciendabogota.gov.co</w:t>
                      </w:r>
                    </w:hyperlink>
                    <w:r w:rsidRPr="003533F0">
                      <w:rPr>
                        <w:rFonts w:ascii="Arial" w:hAnsi="Arial" w:cs="Arial"/>
                        <w:b/>
                        <w:bCs/>
                        <w:sz w:val="15"/>
                        <w:szCs w:val="15"/>
                      </w:rPr>
                      <w:t xml:space="preserve"> *  Información: Línea 195</w:t>
                    </w:r>
                  </w:p>
                  <w:p w14:paraId="5C72C48B" w14:textId="77777777" w:rsidR="005B322D" w:rsidRDefault="00D1458D" w:rsidP="005B322D"/>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C371C" w14:textId="77777777" w:rsidR="00FA5EE7" w:rsidRDefault="00FB095C" w:rsidP="00F56EF1">
    <w:pPr>
      <w:shd w:val="solid" w:color="FFFFFF" w:fill="FFFFFF"/>
      <w:tabs>
        <w:tab w:val="left" w:pos="600"/>
        <w:tab w:val="left" w:pos="8880"/>
      </w:tabs>
      <w:rPr>
        <w:rFonts w:ascii="Arial" w:hAnsi="Arial" w:cs="Arial"/>
        <w:b/>
        <w:bCs/>
      </w:rPr>
    </w:pPr>
    <w:r w:rsidRPr="00B51C18">
      <w:rPr>
        <w:noProof/>
        <w:lang w:val="es-CO" w:eastAsia="es-CO"/>
      </w:rPr>
      <mc:AlternateContent>
        <mc:Choice Requires="wps">
          <w:drawing>
            <wp:anchor distT="0" distB="0" distL="114300" distR="114300" simplePos="0" relativeHeight="251662336" behindDoc="0" locked="0" layoutInCell="0" allowOverlap="1" wp14:anchorId="44321D64" wp14:editId="519E5C3F">
              <wp:simplePos x="0" y="0"/>
              <wp:positionH relativeFrom="rightMargin">
                <wp:posOffset>165735</wp:posOffset>
              </wp:positionH>
              <wp:positionV relativeFrom="page">
                <wp:posOffset>7962900</wp:posOffset>
              </wp:positionV>
              <wp:extent cx="762000" cy="755015"/>
              <wp:effectExtent l="0" t="0" r="0" b="698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55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eastAsiaTheme="majorEastAsia" w:hAnsi="Arial" w:cs="Arial"/>
                              <w:sz w:val="18"/>
                              <w:szCs w:val="18"/>
                            </w:rPr>
                            <w:id w:val="-1807150379"/>
                            <w:docPartObj>
                              <w:docPartGallery w:val="Page Numbers (Margins)"/>
                              <w:docPartUnique/>
                            </w:docPartObj>
                          </w:sdtPr>
                          <w:sdtEndPr/>
                          <w:sdtContent>
                            <w:p w14:paraId="03898874" w14:textId="77777777" w:rsidR="00B51C18" w:rsidRDefault="00FB095C">
                              <w:pPr>
                                <w:jc w:val="center"/>
                                <w:rPr>
                                  <w:rFonts w:ascii="Arial" w:eastAsiaTheme="majorEastAsia" w:hAnsi="Arial" w:cs="Arial"/>
                                  <w:sz w:val="18"/>
                                  <w:szCs w:val="18"/>
                                </w:rPr>
                              </w:pPr>
                              <w:r w:rsidRPr="00B51C18">
                                <w:rPr>
                                  <w:rFonts w:ascii="Arial" w:eastAsiaTheme="minorEastAsia" w:hAnsi="Arial" w:cs="Arial"/>
                                  <w:sz w:val="18"/>
                                  <w:szCs w:val="18"/>
                                </w:rPr>
                                <w:fldChar w:fldCharType="begin"/>
                              </w:r>
                              <w:r w:rsidRPr="00B51C18">
                                <w:rPr>
                                  <w:rFonts w:ascii="Arial" w:hAnsi="Arial" w:cs="Arial"/>
                                  <w:sz w:val="18"/>
                                  <w:szCs w:val="18"/>
                                </w:rPr>
                                <w:instrText>PAGE  \* MERGEFORMAT</w:instrText>
                              </w:r>
                              <w:r w:rsidRPr="00B51C18">
                                <w:rPr>
                                  <w:rFonts w:ascii="Arial" w:eastAsiaTheme="minorEastAsia" w:hAnsi="Arial" w:cs="Arial"/>
                                  <w:sz w:val="18"/>
                                  <w:szCs w:val="18"/>
                                </w:rPr>
                                <w:fldChar w:fldCharType="separate"/>
                              </w:r>
                              <w:r w:rsidRPr="006F60EE">
                                <w:rPr>
                                  <w:rFonts w:ascii="Arial" w:eastAsiaTheme="majorEastAsia" w:hAnsi="Arial" w:cs="Arial"/>
                                  <w:noProof/>
                                  <w:sz w:val="18"/>
                                  <w:szCs w:val="18"/>
                                  <w:lang w:val="es-ES"/>
                                </w:rPr>
                                <w:t>6</w:t>
                              </w:r>
                              <w:r w:rsidRPr="00B51C18">
                                <w:rPr>
                                  <w:rFonts w:ascii="Arial" w:eastAsiaTheme="majorEastAsia" w:hAnsi="Arial" w:cs="Arial"/>
                                  <w:sz w:val="18"/>
                                  <w:szCs w:val="18"/>
                                </w:rPr>
                                <w:fldChar w:fldCharType="end"/>
                              </w:r>
                            </w:p>
                          </w:sdtContent>
                        </w:sdt>
                        <w:p w14:paraId="4E446EEE" w14:textId="77777777" w:rsidR="00FF4871" w:rsidRDefault="00732433" w:rsidP="00FF4871">
                          <w:pPr>
                            <w:rPr>
                              <w:rFonts w:ascii="Arial" w:eastAsiaTheme="majorEastAsia" w:hAnsi="Arial" w:cs="Arial"/>
                              <w:sz w:val="18"/>
                              <w:szCs w:val="18"/>
                            </w:rPr>
                          </w:pPr>
                        </w:p>
                        <w:p w14:paraId="3260816B" w14:textId="77777777" w:rsidR="00696840" w:rsidRDefault="00FB095C" w:rsidP="00FF4871">
                          <w:pPr>
                            <w:rPr>
                              <w:rFonts w:ascii="Arial" w:eastAsiaTheme="majorEastAsia" w:hAnsi="Arial" w:cs="Arial"/>
                              <w:sz w:val="18"/>
                              <w:szCs w:val="18"/>
                            </w:rPr>
                          </w:pPr>
                          <w:r>
                            <w:rPr>
                              <w:rFonts w:ascii="Arial" w:eastAsiaTheme="majorEastAsia" w:hAnsi="Arial" w:cs="Arial"/>
                              <w:sz w:val="18"/>
                              <w:szCs w:val="18"/>
                            </w:rPr>
                            <w:t>35.F.01</w:t>
                          </w:r>
                        </w:p>
                        <w:p w14:paraId="3B51C15C" w14:textId="77777777" w:rsidR="00696840" w:rsidRPr="00B51C18" w:rsidRDefault="00FB095C" w:rsidP="00FF4871">
                          <w:pPr>
                            <w:jc w:val="both"/>
                            <w:rPr>
                              <w:rFonts w:ascii="Arial" w:eastAsiaTheme="majorEastAsia" w:hAnsi="Arial" w:cs="Arial"/>
                              <w:sz w:val="18"/>
                              <w:szCs w:val="18"/>
                            </w:rPr>
                          </w:pPr>
                          <w:r>
                            <w:rPr>
                              <w:rFonts w:ascii="Arial" w:eastAsiaTheme="majorEastAsia" w:hAnsi="Arial" w:cs="Arial"/>
                              <w:sz w:val="18"/>
                              <w:szCs w:val="18"/>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21D64" id="Rectángulo 2" o:spid="_x0000_s1027" style="position:absolute;margin-left:13.05pt;margin-top:627pt;width:60pt;height:59.4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" o:allowincell="f" stroked="f">
              <v:textbox>
                <w:txbxContent>
                  <w:sdt>
                    <w:sdtPr>
                      <w:rPr>
                        <w:rFonts w:ascii="Arial" w:eastAsiaTheme="majorEastAsia" w:hAnsi="Arial" w:cs="Arial"/>
                        <w:sz w:val="18"/>
                        <w:szCs w:val="18"/>
                      </w:rPr>
                      <w:id w:val="-1807150379"/>
                      <w:docPartObj>
                        <w:docPartGallery w:val="Page Numbers (Margins)"/>
                        <w:docPartUnique/>
                      </w:docPartObj>
                    </w:sdtPr>
                    <w:sdtEndPr/>
                    <w:sdtContent>
                      <w:p w14:paraId="03898874" w14:textId="77777777" w:rsidR="00B51C18" w:rsidRDefault="00FB095C">
                        <w:pPr>
                          <w:jc w:val="center"/>
                          <w:rPr>
                            <w:rFonts w:ascii="Arial" w:eastAsiaTheme="majorEastAsia" w:hAnsi="Arial" w:cs="Arial"/>
                            <w:sz w:val="18"/>
                            <w:szCs w:val="18"/>
                          </w:rPr>
                        </w:pPr>
                        <w:r w:rsidRPr="00B51C18">
                          <w:rPr>
                            <w:rFonts w:ascii="Arial" w:eastAsiaTheme="minorEastAsia" w:hAnsi="Arial" w:cs="Arial"/>
                            <w:sz w:val="18"/>
                            <w:szCs w:val="18"/>
                          </w:rPr>
                          <w:fldChar w:fldCharType="begin"/>
                        </w:r>
                        <w:r w:rsidRPr="00B51C18">
                          <w:rPr>
                            <w:rFonts w:ascii="Arial" w:hAnsi="Arial" w:cs="Arial"/>
                            <w:sz w:val="18"/>
                            <w:szCs w:val="18"/>
                          </w:rPr>
                          <w:instrText>PAGE  \* MERGEFORMAT</w:instrText>
                        </w:r>
                        <w:r w:rsidRPr="00B51C18">
                          <w:rPr>
                            <w:rFonts w:ascii="Arial" w:eastAsiaTheme="minorEastAsia" w:hAnsi="Arial" w:cs="Arial"/>
                            <w:sz w:val="18"/>
                            <w:szCs w:val="18"/>
                          </w:rPr>
                          <w:fldChar w:fldCharType="separate"/>
                        </w:r>
                        <w:r w:rsidRPr="006F60EE">
                          <w:rPr>
                            <w:rFonts w:ascii="Arial" w:eastAsiaTheme="majorEastAsia" w:hAnsi="Arial" w:cs="Arial"/>
                            <w:noProof/>
                            <w:sz w:val="18"/>
                            <w:szCs w:val="18"/>
                            <w:lang w:val="es-ES"/>
                          </w:rPr>
                          <w:t>6</w:t>
                        </w:r>
                        <w:r w:rsidRPr="00B51C18">
                          <w:rPr>
                            <w:rFonts w:ascii="Arial" w:eastAsiaTheme="majorEastAsia" w:hAnsi="Arial" w:cs="Arial"/>
                            <w:sz w:val="18"/>
                            <w:szCs w:val="18"/>
                          </w:rPr>
                          <w:fldChar w:fldCharType="end"/>
                        </w:r>
                      </w:p>
                    </w:sdtContent>
                  </w:sdt>
                  <w:p w14:paraId="4E446EEE" w14:textId="77777777" w:rsidR="00FF4871" w:rsidRDefault="00D1458D" w:rsidP="00FF4871">
                    <w:pPr>
                      <w:rPr>
                        <w:rFonts w:ascii="Arial" w:eastAsiaTheme="majorEastAsia" w:hAnsi="Arial" w:cs="Arial"/>
                        <w:sz w:val="18"/>
                        <w:szCs w:val="18"/>
                      </w:rPr>
                    </w:pPr>
                  </w:p>
                  <w:p w14:paraId="3260816B" w14:textId="77777777" w:rsidR="00696840" w:rsidRDefault="00FB095C" w:rsidP="00FF4871">
                    <w:pPr>
                      <w:rPr>
                        <w:rFonts w:ascii="Arial" w:eastAsiaTheme="majorEastAsia" w:hAnsi="Arial" w:cs="Arial"/>
                        <w:sz w:val="18"/>
                        <w:szCs w:val="18"/>
                      </w:rPr>
                    </w:pPr>
                    <w:r>
                      <w:rPr>
                        <w:rFonts w:ascii="Arial" w:eastAsiaTheme="majorEastAsia" w:hAnsi="Arial" w:cs="Arial"/>
                        <w:sz w:val="18"/>
                        <w:szCs w:val="18"/>
                      </w:rPr>
                      <w:t>35.F.01</w:t>
                    </w:r>
                  </w:p>
                  <w:p w14:paraId="3B51C15C" w14:textId="77777777" w:rsidR="00696840" w:rsidRPr="00B51C18" w:rsidRDefault="00FB095C" w:rsidP="00FF4871">
                    <w:pPr>
                      <w:jc w:val="both"/>
                      <w:rPr>
                        <w:rFonts w:ascii="Arial" w:eastAsiaTheme="majorEastAsia" w:hAnsi="Arial" w:cs="Arial"/>
                        <w:sz w:val="18"/>
                        <w:szCs w:val="18"/>
                      </w:rPr>
                    </w:pPr>
                    <w:r>
                      <w:rPr>
                        <w:rFonts w:ascii="Arial" w:eastAsiaTheme="majorEastAsia" w:hAnsi="Arial" w:cs="Arial"/>
                        <w:sz w:val="18"/>
                        <w:szCs w:val="18"/>
                      </w:rPr>
                      <w:t>V.10</w:t>
                    </w:r>
                  </w:p>
                </w:txbxContent>
              </v:textbox>
              <w10:wrap anchorx="margin" anchory="page"/>
            </v:rect>
          </w:pict>
        </mc:Fallback>
      </mc:AlternateContent>
    </w:r>
    <w:r>
      <w:rPr>
        <w:rFonts w:ascii="Arial" w:hAnsi="Arial" w:cs="Arial"/>
        <w:b/>
        <w:bCs/>
        <w:noProof/>
        <w:lang w:val="es-CO" w:eastAsia="es-CO"/>
      </w:rPr>
      <w:drawing>
        <wp:anchor distT="0" distB="0" distL="114300" distR="114300" simplePos="0" relativeHeight="251661312" behindDoc="0" locked="0" layoutInCell="1" allowOverlap="1" wp14:anchorId="4345AB56" wp14:editId="62CAE2E6">
          <wp:simplePos x="0" y="0"/>
          <wp:positionH relativeFrom="column">
            <wp:posOffset>-1577859</wp:posOffset>
          </wp:positionH>
          <wp:positionV relativeFrom="paragraph">
            <wp:posOffset>-932094</wp:posOffset>
          </wp:positionV>
          <wp:extent cx="7804785" cy="1389990"/>
          <wp:effectExtent l="0" t="0" r="0" b="0"/>
          <wp:wrapNone/>
          <wp:docPr id="16" name="Imagen 16"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04785" cy="13899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94B99" w14:textId="77777777" w:rsidR="00045F46" w:rsidRDefault="00045F46" w:rsidP="001D1133">
      <w:r>
        <w:separator/>
      </w:r>
    </w:p>
  </w:footnote>
  <w:footnote w:type="continuationSeparator" w:id="0">
    <w:p w14:paraId="5B20003C" w14:textId="77777777" w:rsidR="00045F46" w:rsidRDefault="00045F46" w:rsidP="001D1133">
      <w:r>
        <w:continuationSeparator/>
      </w:r>
    </w:p>
  </w:footnote>
  <w:footnote w:id="1">
    <w:p w14:paraId="48DADD6E" w14:textId="77777777" w:rsidR="00A014E9" w:rsidRPr="001A30BF" w:rsidRDefault="00A014E9" w:rsidP="00A014E9">
      <w:pPr>
        <w:pStyle w:val="Textonotapie"/>
        <w:rPr>
          <w:rFonts w:ascii="Arial" w:hAnsi="Arial" w:cs="Arial"/>
        </w:rPr>
      </w:pPr>
      <w:r w:rsidRPr="001A30BF">
        <w:rPr>
          <w:rStyle w:val="Refdenotaalpie"/>
          <w:rFonts w:ascii="Arial" w:hAnsi="Arial" w:cs="Arial"/>
        </w:rPr>
        <w:footnoteRef/>
      </w:r>
      <w:r w:rsidRPr="001A30BF">
        <w:rPr>
          <w:rFonts w:ascii="Arial" w:hAnsi="Arial" w:cs="Arial"/>
        </w:rPr>
        <w:t xml:space="preserve"> Así, por ejemplo, ha ocurrido con la posibilidad del legislador de establecer excepciones a la votación nominal y pública. Véase, al respecto, la Sentencia C-134 de 2014, M.P. María Victoria Calle Correa. </w:t>
      </w:r>
    </w:p>
    <w:p w14:paraId="0F6DABFE" w14:textId="77777777" w:rsidR="00A014E9" w:rsidRDefault="00A014E9" w:rsidP="00A014E9">
      <w:pPr>
        <w:pStyle w:val="Textonotapie"/>
      </w:pPr>
    </w:p>
  </w:footnote>
  <w:footnote w:id="2">
    <w:p w14:paraId="7D6BD961" w14:textId="77777777" w:rsidR="00A014E9" w:rsidRPr="00DC1A65" w:rsidRDefault="00A014E9" w:rsidP="00A014E9">
      <w:pPr>
        <w:pStyle w:val="Textonotapie"/>
        <w:rPr>
          <w:rFonts w:ascii="Arial" w:hAnsi="Arial" w:cs="Arial"/>
          <w:bCs/>
          <w:i/>
          <w:iCs/>
        </w:rPr>
      </w:pPr>
      <w:r w:rsidRPr="001A30BF">
        <w:rPr>
          <w:rStyle w:val="Refdenotaalpie"/>
          <w:rFonts w:ascii="Arial" w:hAnsi="Arial" w:cs="Arial"/>
        </w:rPr>
        <w:footnoteRef/>
      </w:r>
      <w:r w:rsidRPr="001A30BF">
        <w:rPr>
          <w:rFonts w:ascii="Arial" w:hAnsi="Arial" w:cs="Arial"/>
        </w:rPr>
        <w:t xml:space="preserve"> En la Sentencia C-411 de 1997, M.P. José Gregorio Hernández Galindo, se afirmó que: </w:t>
      </w:r>
      <w:r w:rsidRPr="001A30BF">
        <w:rPr>
          <w:rFonts w:ascii="Arial" w:hAnsi="Arial" w:cs="Arial"/>
          <w:i/>
        </w:rPr>
        <w:t>“</w:t>
      </w:r>
      <w:r w:rsidRPr="001A30BF">
        <w:rPr>
          <w:rFonts w:ascii="Arial" w:hAnsi="Arial" w:cs="Arial"/>
          <w:bCs/>
          <w:i/>
          <w:iCs/>
        </w:rPr>
        <w:t xml:space="preserve">la doble instancia, con todo y ser uno de los principales [derechos] (…) dentro del conjunto de garantías que estructuran el debido proceso, no tiene un carácter absoluto, como resulta del precepto constitucional que lo consagra (artículo 31 C.P.), a cuyo tenor ‘toda sentencia judicial podrá ser apelada o consultada, </w:t>
      </w:r>
      <w:r w:rsidRPr="001A30BF">
        <w:rPr>
          <w:rFonts w:ascii="Arial" w:hAnsi="Arial" w:cs="Arial"/>
          <w:bCs/>
          <w:i/>
          <w:iCs/>
          <w:u w:val="single"/>
        </w:rPr>
        <w:t>salvo las excepciones que consagre la ley</w:t>
      </w:r>
      <w:r w:rsidRPr="001A30BF">
        <w:rPr>
          <w:rFonts w:ascii="Arial" w:hAnsi="Arial" w:cs="Arial"/>
          <w:bCs/>
          <w:i/>
          <w:iCs/>
        </w:rPr>
        <w:t>’ (subraya la Corte) (...)”.</w:t>
      </w:r>
    </w:p>
    <w:p w14:paraId="2D7F6197" w14:textId="77777777" w:rsidR="00A014E9" w:rsidRDefault="00A014E9" w:rsidP="00A014E9">
      <w:pPr>
        <w:pStyle w:val="Textonotapie"/>
      </w:pPr>
    </w:p>
  </w:footnote>
  <w:footnote w:id="3">
    <w:p w14:paraId="0ACFA15F" w14:textId="77777777" w:rsidR="00A014E9" w:rsidRPr="001A30BF" w:rsidRDefault="00A014E9" w:rsidP="00A014E9">
      <w:pPr>
        <w:pStyle w:val="Textonotapie"/>
        <w:rPr>
          <w:rFonts w:ascii="Arial" w:hAnsi="Arial" w:cs="Arial"/>
          <w:iCs/>
        </w:rPr>
      </w:pPr>
      <w:r w:rsidRPr="001A30BF">
        <w:rPr>
          <w:rStyle w:val="Refdenotaalpie"/>
          <w:rFonts w:ascii="Arial" w:hAnsi="Arial" w:cs="Arial"/>
        </w:rPr>
        <w:footnoteRef/>
      </w:r>
      <w:r w:rsidRPr="001A30BF">
        <w:rPr>
          <w:rFonts w:ascii="Arial" w:hAnsi="Arial" w:cs="Arial"/>
        </w:rPr>
        <w:t xml:space="preserve"> Sentencia C-040 de 2002, M.P. Eduardo Montealegre Lynett. Sobre el particular, en la Sentencia C-838 de 2013, M.P. Luis Ernesto Vargas Silva, la Corte identificó algunos criterios que deben ser tenidos en cuenta cuando se consagren excepciones al principio de la doble instancia, a saber: (i) </w:t>
      </w:r>
      <w:r w:rsidRPr="001A30BF">
        <w:rPr>
          <w:rFonts w:ascii="Arial" w:hAnsi="Arial" w:cs="Arial"/>
          <w:iCs/>
        </w:rPr>
        <w:t xml:space="preserve">la exclusión debe ser excepcional; (ii) deben existir otros recursos, acciones u oportunidades procesales que garanticen adecuadamente el derecho de defensa y el derecho de acceso a la administración de justicia de quienes se ven afectados por lo actuado o por lo decidido en procesos de única instancia; (iii) la exclusión debe propender por el logro de una finalidad constitucionalmente legítima; y (iv) ella no puede dar lugar a discriminación. </w:t>
      </w:r>
    </w:p>
    <w:p w14:paraId="5A6E5FE0" w14:textId="77777777" w:rsidR="00A014E9" w:rsidRDefault="00A014E9" w:rsidP="00A014E9">
      <w:pPr>
        <w:pStyle w:val="Textonotapie"/>
      </w:pPr>
    </w:p>
  </w:footnote>
  <w:footnote w:id="4">
    <w:p w14:paraId="5760EE37" w14:textId="77777777" w:rsidR="00A014E9" w:rsidRDefault="00A014E9" w:rsidP="00A014E9">
      <w:pPr>
        <w:pStyle w:val="Textonotapie"/>
      </w:pPr>
      <w:r w:rsidRPr="001A30BF">
        <w:rPr>
          <w:rStyle w:val="Refdenotaalpie"/>
          <w:rFonts w:ascii="Arial" w:hAnsi="Arial" w:cs="Arial"/>
        </w:rPr>
        <w:footnoteRef/>
      </w:r>
      <w:r w:rsidRPr="001A30BF">
        <w:rPr>
          <w:rFonts w:ascii="Arial" w:hAnsi="Arial" w:cs="Arial"/>
        </w:rPr>
        <w:t xml:space="preserve"> Al respecto, se puede consultar la Sentencia C-619 de 1997, M.P. José Gregorio Hernández Galindo.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FE73" w14:textId="77777777" w:rsidR="00FA5EE7" w:rsidRPr="00B50543" w:rsidRDefault="00732433">
    <w:pPr>
      <w:pStyle w:val="Encabezado"/>
      <w:jc w:val="center"/>
      <w:rPr>
        <w:lang w:val="es-CO"/>
      </w:rPr>
    </w:pPr>
    <w:sdt>
      <w:sdtPr>
        <w:rPr>
          <w:lang w:val="es-CO"/>
        </w:rPr>
        <w:id w:val="2026435049"/>
        <w:docPartObj>
          <w:docPartGallery w:val="Page Numbers (Margins)"/>
          <w:docPartUnique/>
        </w:docPartObj>
      </w:sdtPr>
      <w:sdtEndPr/>
      <w:sdtContent/>
    </w:sdt>
    <w:r w:rsidR="00FB095C">
      <w:rPr>
        <w:noProof/>
        <w:lang w:val="es-CO" w:eastAsia="es-CO"/>
      </w:rPr>
      <w:drawing>
        <wp:anchor distT="0" distB="0" distL="114300" distR="114300" simplePos="0" relativeHeight="251660288" behindDoc="1" locked="0" layoutInCell="1" allowOverlap="1" wp14:anchorId="0A378309" wp14:editId="0EAA9A88">
          <wp:simplePos x="0" y="0"/>
          <wp:positionH relativeFrom="page">
            <wp:align>left</wp:align>
          </wp:positionH>
          <wp:positionV relativeFrom="paragraph">
            <wp:posOffset>-359435</wp:posOffset>
          </wp:positionV>
          <wp:extent cx="7805249" cy="1223158"/>
          <wp:effectExtent l="0" t="0" r="0" b="0"/>
          <wp:wrapNone/>
          <wp:docPr id="15" name="Imagen 15"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3x.png"/>
                  <pic:cNvPicPr/>
                </pic:nvPicPr>
                <pic:blipFill>
                  <a:blip r:embed="rId1">
                    <a:extLst>
                      <a:ext uri="{28A0092B-C50C-407E-A947-70E740481C1C}">
                        <a14:useLocalDpi xmlns:a14="http://schemas.microsoft.com/office/drawing/2010/main" val="0"/>
                      </a:ext>
                    </a:extLst>
                  </a:blip>
                  <a:stretch>
                    <a:fillRect/>
                  </a:stretch>
                </pic:blipFill>
                <pic:spPr>
                  <a:xfrm>
                    <a:off x="0" y="0"/>
                    <a:ext cx="7905740" cy="12389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7664F"/>
    <w:multiLevelType w:val="hybridMultilevel"/>
    <w:tmpl w:val="3EFE11F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5D93CB5"/>
    <w:multiLevelType w:val="hybridMultilevel"/>
    <w:tmpl w:val="A96ACD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86F52F6"/>
    <w:multiLevelType w:val="multilevel"/>
    <w:tmpl w:val="FFFFFFFF"/>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i w:val="0"/>
        <w:color w:val="auto"/>
      </w:rPr>
    </w:lvl>
    <w:lvl w:ilvl="4">
      <w:start w:val="1"/>
      <w:numFmt w:val="decimal"/>
      <w:lvlText w:val="%1.%2.%3.%4.%5."/>
      <w:lvlJc w:val="left"/>
      <w:pPr>
        <w:tabs>
          <w:tab w:val="num" w:pos="1080"/>
        </w:tabs>
        <w:ind w:left="1080" w:hanging="1080"/>
      </w:pPr>
      <w:rPr>
        <w:rFonts w:cs="Times New Roman" w:hint="default"/>
        <w:b/>
        <w:i w:val="0"/>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391E6C55"/>
    <w:multiLevelType w:val="hybridMultilevel"/>
    <w:tmpl w:val="E7681E6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E350C6D"/>
    <w:multiLevelType w:val="hybridMultilevel"/>
    <w:tmpl w:val="BE6CC710"/>
    <w:lvl w:ilvl="0" w:tplc="38A2046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01A1A9B"/>
    <w:multiLevelType w:val="hybridMultilevel"/>
    <w:tmpl w:val="50D67056"/>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1DF6C39"/>
    <w:multiLevelType w:val="hybridMultilevel"/>
    <w:tmpl w:val="3EFE11F0"/>
    <w:lvl w:ilvl="0" w:tplc="D2A804CC">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3A85E02"/>
    <w:multiLevelType w:val="hybridMultilevel"/>
    <w:tmpl w:val="7854A7C8"/>
    <w:lvl w:ilvl="0" w:tplc="99A019B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52A5B0D"/>
    <w:multiLevelType w:val="hybridMultilevel"/>
    <w:tmpl w:val="63DEC43A"/>
    <w:lvl w:ilvl="0" w:tplc="E05A5D0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7A03FBE"/>
    <w:multiLevelType w:val="hybridMultilevel"/>
    <w:tmpl w:val="3E64F81C"/>
    <w:lvl w:ilvl="0" w:tplc="72F80780">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8EF64E1"/>
    <w:multiLevelType w:val="multilevel"/>
    <w:tmpl w:val="A1B4E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883AE2"/>
    <w:multiLevelType w:val="hybridMultilevel"/>
    <w:tmpl w:val="743ED2B4"/>
    <w:lvl w:ilvl="0" w:tplc="F3FC9988">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AAB71E0"/>
    <w:multiLevelType w:val="hybridMultilevel"/>
    <w:tmpl w:val="F3FEEF80"/>
    <w:lvl w:ilvl="0" w:tplc="3FC8433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C6D5B2D"/>
    <w:multiLevelType w:val="hybridMultilevel"/>
    <w:tmpl w:val="FFFFFFFF"/>
    <w:lvl w:ilvl="0" w:tplc="645812E8">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15:restartNumberingAfterBreak="0">
    <w:nsid w:val="6F2F3871"/>
    <w:multiLevelType w:val="hybridMultilevel"/>
    <w:tmpl w:val="E1CAB8B6"/>
    <w:lvl w:ilvl="0" w:tplc="208011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398625946">
    <w:abstractNumId w:val="5"/>
  </w:num>
  <w:num w:numId="2" w16cid:durableId="154927193">
    <w:abstractNumId w:val="1"/>
  </w:num>
  <w:num w:numId="3" w16cid:durableId="1008362939">
    <w:abstractNumId w:val="3"/>
  </w:num>
  <w:num w:numId="4" w16cid:durableId="1064644989">
    <w:abstractNumId w:val="10"/>
  </w:num>
  <w:num w:numId="5" w16cid:durableId="1625113065">
    <w:abstractNumId w:val="9"/>
  </w:num>
  <w:num w:numId="6" w16cid:durableId="458183274">
    <w:abstractNumId w:val="6"/>
  </w:num>
  <w:num w:numId="7" w16cid:durableId="184028419">
    <w:abstractNumId w:val="8"/>
  </w:num>
  <w:num w:numId="8" w16cid:durableId="644547422">
    <w:abstractNumId w:val="0"/>
  </w:num>
  <w:num w:numId="9" w16cid:durableId="1346437530">
    <w:abstractNumId w:val="2"/>
  </w:num>
  <w:num w:numId="10" w16cid:durableId="1319118450">
    <w:abstractNumId w:val="12"/>
  </w:num>
  <w:num w:numId="11" w16cid:durableId="557321015">
    <w:abstractNumId w:val="11"/>
  </w:num>
  <w:num w:numId="12" w16cid:durableId="1286814720">
    <w:abstractNumId w:val="14"/>
  </w:num>
  <w:num w:numId="13" w16cid:durableId="2141268337">
    <w:abstractNumId w:val="4"/>
  </w:num>
  <w:num w:numId="14" w16cid:durableId="385686621">
    <w:abstractNumId w:val="7"/>
  </w:num>
  <w:num w:numId="15" w16cid:durableId="18859426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133"/>
    <w:rsid w:val="00000FC3"/>
    <w:rsid w:val="0000454B"/>
    <w:rsid w:val="0001682F"/>
    <w:rsid w:val="00022665"/>
    <w:rsid w:val="00031C79"/>
    <w:rsid w:val="00034698"/>
    <w:rsid w:val="00036405"/>
    <w:rsid w:val="000445D8"/>
    <w:rsid w:val="00045F46"/>
    <w:rsid w:val="00054184"/>
    <w:rsid w:val="000613AC"/>
    <w:rsid w:val="0006142E"/>
    <w:rsid w:val="0006176B"/>
    <w:rsid w:val="00062E84"/>
    <w:rsid w:val="00064A61"/>
    <w:rsid w:val="000674C0"/>
    <w:rsid w:val="00067ABA"/>
    <w:rsid w:val="00067B70"/>
    <w:rsid w:val="00073D71"/>
    <w:rsid w:val="000803EC"/>
    <w:rsid w:val="00080442"/>
    <w:rsid w:val="00086F03"/>
    <w:rsid w:val="00087A50"/>
    <w:rsid w:val="00090616"/>
    <w:rsid w:val="00091F6A"/>
    <w:rsid w:val="00093886"/>
    <w:rsid w:val="00093D91"/>
    <w:rsid w:val="000A4387"/>
    <w:rsid w:val="000B0BA9"/>
    <w:rsid w:val="000B7BD3"/>
    <w:rsid w:val="000C18F2"/>
    <w:rsid w:val="000C3DF2"/>
    <w:rsid w:val="000C58E3"/>
    <w:rsid w:val="000C5A25"/>
    <w:rsid w:val="000D0A39"/>
    <w:rsid w:val="000D12C9"/>
    <w:rsid w:val="000D15EA"/>
    <w:rsid w:val="000D164F"/>
    <w:rsid w:val="000E2749"/>
    <w:rsid w:val="000E2FD6"/>
    <w:rsid w:val="000E3587"/>
    <w:rsid w:val="000F759D"/>
    <w:rsid w:val="000F7C1B"/>
    <w:rsid w:val="00101F96"/>
    <w:rsid w:val="001169BA"/>
    <w:rsid w:val="00117016"/>
    <w:rsid w:val="00121B4D"/>
    <w:rsid w:val="001273E4"/>
    <w:rsid w:val="0013029E"/>
    <w:rsid w:val="00136CCB"/>
    <w:rsid w:val="001371DF"/>
    <w:rsid w:val="001406D9"/>
    <w:rsid w:val="00140FE7"/>
    <w:rsid w:val="00141866"/>
    <w:rsid w:val="00145C8E"/>
    <w:rsid w:val="00153B67"/>
    <w:rsid w:val="00162000"/>
    <w:rsid w:val="00162E6B"/>
    <w:rsid w:val="001653E7"/>
    <w:rsid w:val="00166215"/>
    <w:rsid w:val="00172494"/>
    <w:rsid w:val="00172BAB"/>
    <w:rsid w:val="00173C22"/>
    <w:rsid w:val="00177B7C"/>
    <w:rsid w:val="00180BD3"/>
    <w:rsid w:val="00181940"/>
    <w:rsid w:val="00185B7D"/>
    <w:rsid w:val="00192186"/>
    <w:rsid w:val="00192CE2"/>
    <w:rsid w:val="001A08EF"/>
    <w:rsid w:val="001B5E15"/>
    <w:rsid w:val="001C7A9F"/>
    <w:rsid w:val="001D1133"/>
    <w:rsid w:val="001D50DA"/>
    <w:rsid w:val="001E4BB5"/>
    <w:rsid w:val="001E6B41"/>
    <w:rsid w:val="001F1F84"/>
    <w:rsid w:val="001F6D15"/>
    <w:rsid w:val="00200A97"/>
    <w:rsid w:val="002035BC"/>
    <w:rsid w:val="0020586D"/>
    <w:rsid w:val="00206750"/>
    <w:rsid w:val="00210023"/>
    <w:rsid w:val="00212404"/>
    <w:rsid w:val="00214E4E"/>
    <w:rsid w:val="0021582E"/>
    <w:rsid w:val="0022342F"/>
    <w:rsid w:val="00230CBC"/>
    <w:rsid w:val="00230E5E"/>
    <w:rsid w:val="00230F76"/>
    <w:rsid w:val="00233100"/>
    <w:rsid w:val="0023453C"/>
    <w:rsid w:val="00235B7E"/>
    <w:rsid w:val="002371DF"/>
    <w:rsid w:val="00237B79"/>
    <w:rsid w:val="00241047"/>
    <w:rsid w:val="00243D30"/>
    <w:rsid w:val="002471B6"/>
    <w:rsid w:val="0024740A"/>
    <w:rsid w:val="00250B4D"/>
    <w:rsid w:val="00257380"/>
    <w:rsid w:val="00260023"/>
    <w:rsid w:val="002605D0"/>
    <w:rsid w:val="00261176"/>
    <w:rsid w:val="00265883"/>
    <w:rsid w:val="00273534"/>
    <w:rsid w:val="002764FA"/>
    <w:rsid w:val="002911BC"/>
    <w:rsid w:val="002A0D22"/>
    <w:rsid w:val="002A3417"/>
    <w:rsid w:val="002A7CF4"/>
    <w:rsid w:val="002D216D"/>
    <w:rsid w:val="002D3D58"/>
    <w:rsid w:val="002E0140"/>
    <w:rsid w:val="002E0AD7"/>
    <w:rsid w:val="002E4821"/>
    <w:rsid w:val="002F6568"/>
    <w:rsid w:val="002F6E04"/>
    <w:rsid w:val="00307288"/>
    <w:rsid w:val="00307BE3"/>
    <w:rsid w:val="003128F4"/>
    <w:rsid w:val="00322BF7"/>
    <w:rsid w:val="00323435"/>
    <w:rsid w:val="00325DEC"/>
    <w:rsid w:val="00326C43"/>
    <w:rsid w:val="00327A60"/>
    <w:rsid w:val="00330597"/>
    <w:rsid w:val="0033521E"/>
    <w:rsid w:val="00342019"/>
    <w:rsid w:val="0034410E"/>
    <w:rsid w:val="00345725"/>
    <w:rsid w:val="003519E2"/>
    <w:rsid w:val="003564CA"/>
    <w:rsid w:val="003568D9"/>
    <w:rsid w:val="00356EFF"/>
    <w:rsid w:val="00363E31"/>
    <w:rsid w:val="00365DEB"/>
    <w:rsid w:val="00370433"/>
    <w:rsid w:val="0037202E"/>
    <w:rsid w:val="00375D1D"/>
    <w:rsid w:val="00376DE0"/>
    <w:rsid w:val="003771AE"/>
    <w:rsid w:val="003826C8"/>
    <w:rsid w:val="0038702A"/>
    <w:rsid w:val="00387642"/>
    <w:rsid w:val="00390A42"/>
    <w:rsid w:val="0039708F"/>
    <w:rsid w:val="00397338"/>
    <w:rsid w:val="003A1F36"/>
    <w:rsid w:val="003B2564"/>
    <w:rsid w:val="003C0733"/>
    <w:rsid w:val="003C331C"/>
    <w:rsid w:val="003C35CE"/>
    <w:rsid w:val="003D652E"/>
    <w:rsid w:val="003E3AA6"/>
    <w:rsid w:val="003F0A89"/>
    <w:rsid w:val="003F2798"/>
    <w:rsid w:val="0040464D"/>
    <w:rsid w:val="004069EF"/>
    <w:rsid w:val="004100E9"/>
    <w:rsid w:val="00416733"/>
    <w:rsid w:val="00427345"/>
    <w:rsid w:val="004319AE"/>
    <w:rsid w:val="0044109F"/>
    <w:rsid w:val="00443FBB"/>
    <w:rsid w:val="00447B09"/>
    <w:rsid w:val="0045448B"/>
    <w:rsid w:val="00454CAE"/>
    <w:rsid w:val="00462FB0"/>
    <w:rsid w:val="00464478"/>
    <w:rsid w:val="004665A8"/>
    <w:rsid w:val="00474980"/>
    <w:rsid w:val="004764A9"/>
    <w:rsid w:val="00477813"/>
    <w:rsid w:val="00487FDE"/>
    <w:rsid w:val="00490EEA"/>
    <w:rsid w:val="00494CAB"/>
    <w:rsid w:val="004A0119"/>
    <w:rsid w:val="004A01AC"/>
    <w:rsid w:val="004A20E4"/>
    <w:rsid w:val="004A33A8"/>
    <w:rsid w:val="004A4B05"/>
    <w:rsid w:val="004A7C4B"/>
    <w:rsid w:val="004A7DEE"/>
    <w:rsid w:val="004B089B"/>
    <w:rsid w:val="004B243B"/>
    <w:rsid w:val="004B58B0"/>
    <w:rsid w:val="004C244E"/>
    <w:rsid w:val="004C4A74"/>
    <w:rsid w:val="004E51E2"/>
    <w:rsid w:val="004E63B4"/>
    <w:rsid w:val="004F1236"/>
    <w:rsid w:val="004F32E2"/>
    <w:rsid w:val="004F41EB"/>
    <w:rsid w:val="005018DC"/>
    <w:rsid w:val="00502D69"/>
    <w:rsid w:val="00513AD6"/>
    <w:rsid w:val="00515AC8"/>
    <w:rsid w:val="00521457"/>
    <w:rsid w:val="00524573"/>
    <w:rsid w:val="00525163"/>
    <w:rsid w:val="005332D6"/>
    <w:rsid w:val="00534ABD"/>
    <w:rsid w:val="005442CD"/>
    <w:rsid w:val="005455E3"/>
    <w:rsid w:val="00545DDE"/>
    <w:rsid w:val="0055643D"/>
    <w:rsid w:val="00563E99"/>
    <w:rsid w:val="00564A82"/>
    <w:rsid w:val="005666CC"/>
    <w:rsid w:val="00573E6F"/>
    <w:rsid w:val="005751E0"/>
    <w:rsid w:val="00575C8F"/>
    <w:rsid w:val="00577190"/>
    <w:rsid w:val="005843EA"/>
    <w:rsid w:val="00584676"/>
    <w:rsid w:val="00586233"/>
    <w:rsid w:val="00593193"/>
    <w:rsid w:val="005A37BD"/>
    <w:rsid w:val="005B1322"/>
    <w:rsid w:val="005B618D"/>
    <w:rsid w:val="005C5CC6"/>
    <w:rsid w:val="005D3B06"/>
    <w:rsid w:val="005E0AB0"/>
    <w:rsid w:val="0060065E"/>
    <w:rsid w:val="00600CF9"/>
    <w:rsid w:val="006036B9"/>
    <w:rsid w:val="0060778F"/>
    <w:rsid w:val="00615DB3"/>
    <w:rsid w:val="006170D3"/>
    <w:rsid w:val="006210A8"/>
    <w:rsid w:val="00622D7D"/>
    <w:rsid w:val="0062376C"/>
    <w:rsid w:val="00625B0F"/>
    <w:rsid w:val="00630991"/>
    <w:rsid w:val="006313F7"/>
    <w:rsid w:val="00641450"/>
    <w:rsid w:val="006466A7"/>
    <w:rsid w:val="00654D17"/>
    <w:rsid w:val="006627D0"/>
    <w:rsid w:val="00663347"/>
    <w:rsid w:val="0066498F"/>
    <w:rsid w:val="006665F9"/>
    <w:rsid w:val="00670A76"/>
    <w:rsid w:val="006774D2"/>
    <w:rsid w:val="00677E56"/>
    <w:rsid w:val="00693900"/>
    <w:rsid w:val="006969C4"/>
    <w:rsid w:val="006A0767"/>
    <w:rsid w:val="006B02F1"/>
    <w:rsid w:val="006B0D98"/>
    <w:rsid w:val="006B6204"/>
    <w:rsid w:val="006C456D"/>
    <w:rsid w:val="006C78A4"/>
    <w:rsid w:val="006D0A2D"/>
    <w:rsid w:val="006D386D"/>
    <w:rsid w:val="006D562B"/>
    <w:rsid w:val="006E6470"/>
    <w:rsid w:val="006F2ED4"/>
    <w:rsid w:val="006F33F5"/>
    <w:rsid w:val="006F4624"/>
    <w:rsid w:val="006F6750"/>
    <w:rsid w:val="006F7BFE"/>
    <w:rsid w:val="00702F7C"/>
    <w:rsid w:val="00705461"/>
    <w:rsid w:val="007106A4"/>
    <w:rsid w:val="00717676"/>
    <w:rsid w:val="00722C0D"/>
    <w:rsid w:val="00725890"/>
    <w:rsid w:val="00726CB8"/>
    <w:rsid w:val="00727A12"/>
    <w:rsid w:val="007300B3"/>
    <w:rsid w:val="00732433"/>
    <w:rsid w:val="007417BA"/>
    <w:rsid w:val="00757BAE"/>
    <w:rsid w:val="00766445"/>
    <w:rsid w:val="00767EA7"/>
    <w:rsid w:val="007736F0"/>
    <w:rsid w:val="00776E43"/>
    <w:rsid w:val="007816D1"/>
    <w:rsid w:val="00783167"/>
    <w:rsid w:val="00784A0E"/>
    <w:rsid w:val="00792BF0"/>
    <w:rsid w:val="007949F5"/>
    <w:rsid w:val="007A1766"/>
    <w:rsid w:val="007A7250"/>
    <w:rsid w:val="007A7689"/>
    <w:rsid w:val="007C3837"/>
    <w:rsid w:val="007C3A02"/>
    <w:rsid w:val="007C4BE3"/>
    <w:rsid w:val="007D1640"/>
    <w:rsid w:val="007D1BE7"/>
    <w:rsid w:val="007D2087"/>
    <w:rsid w:val="007E430B"/>
    <w:rsid w:val="007F0D6F"/>
    <w:rsid w:val="007F1738"/>
    <w:rsid w:val="007F1B31"/>
    <w:rsid w:val="007F1FB6"/>
    <w:rsid w:val="007F655E"/>
    <w:rsid w:val="007F785C"/>
    <w:rsid w:val="00800B41"/>
    <w:rsid w:val="00801AA1"/>
    <w:rsid w:val="00804C17"/>
    <w:rsid w:val="008079EE"/>
    <w:rsid w:val="00812068"/>
    <w:rsid w:val="008122B8"/>
    <w:rsid w:val="008146C9"/>
    <w:rsid w:val="008150E1"/>
    <w:rsid w:val="008161F1"/>
    <w:rsid w:val="00817C61"/>
    <w:rsid w:val="008210FA"/>
    <w:rsid w:val="00830B97"/>
    <w:rsid w:val="0084020E"/>
    <w:rsid w:val="008435E7"/>
    <w:rsid w:val="008444AE"/>
    <w:rsid w:val="00847F4B"/>
    <w:rsid w:val="00850C1E"/>
    <w:rsid w:val="00852771"/>
    <w:rsid w:val="008533A1"/>
    <w:rsid w:val="00860043"/>
    <w:rsid w:val="00861F39"/>
    <w:rsid w:val="008634F1"/>
    <w:rsid w:val="00863D0C"/>
    <w:rsid w:val="008642C0"/>
    <w:rsid w:val="0087273F"/>
    <w:rsid w:val="008769F8"/>
    <w:rsid w:val="0088073F"/>
    <w:rsid w:val="0088084D"/>
    <w:rsid w:val="00886EC7"/>
    <w:rsid w:val="008874DC"/>
    <w:rsid w:val="008901B8"/>
    <w:rsid w:val="00891898"/>
    <w:rsid w:val="0089213F"/>
    <w:rsid w:val="00893075"/>
    <w:rsid w:val="00894776"/>
    <w:rsid w:val="00897B88"/>
    <w:rsid w:val="008B788F"/>
    <w:rsid w:val="008C00C2"/>
    <w:rsid w:val="008D273F"/>
    <w:rsid w:val="008D4718"/>
    <w:rsid w:val="008D62EE"/>
    <w:rsid w:val="008D66E5"/>
    <w:rsid w:val="008F36B8"/>
    <w:rsid w:val="008F6749"/>
    <w:rsid w:val="00900D8C"/>
    <w:rsid w:val="00910509"/>
    <w:rsid w:val="009105EB"/>
    <w:rsid w:val="00911225"/>
    <w:rsid w:val="00912BAE"/>
    <w:rsid w:val="00922A22"/>
    <w:rsid w:val="009261F0"/>
    <w:rsid w:val="0093174C"/>
    <w:rsid w:val="00931B14"/>
    <w:rsid w:val="0093307F"/>
    <w:rsid w:val="00933F96"/>
    <w:rsid w:val="009413F4"/>
    <w:rsid w:val="00946B3A"/>
    <w:rsid w:val="00951DDB"/>
    <w:rsid w:val="00955BB1"/>
    <w:rsid w:val="0096283D"/>
    <w:rsid w:val="00965679"/>
    <w:rsid w:val="00986985"/>
    <w:rsid w:val="00991B53"/>
    <w:rsid w:val="009A3196"/>
    <w:rsid w:val="009B1D18"/>
    <w:rsid w:val="009B2A4E"/>
    <w:rsid w:val="009C773A"/>
    <w:rsid w:val="009D31A1"/>
    <w:rsid w:val="009D4726"/>
    <w:rsid w:val="009D53C8"/>
    <w:rsid w:val="009D5741"/>
    <w:rsid w:val="009D737D"/>
    <w:rsid w:val="009E2A7F"/>
    <w:rsid w:val="009F287C"/>
    <w:rsid w:val="009F2B26"/>
    <w:rsid w:val="009F4F8D"/>
    <w:rsid w:val="009F7031"/>
    <w:rsid w:val="009F745C"/>
    <w:rsid w:val="00A014E9"/>
    <w:rsid w:val="00A02347"/>
    <w:rsid w:val="00A22B9F"/>
    <w:rsid w:val="00A41DBF"/>
    <w:rsid w:val="00A4229D"/>
    <w:rsid w:val="00A4350F"/>
    <w:rsid w:val="00A50BD8"/>
    <w:rsid w:val="00A5283A"/>
    <w:rsid w:val="00A52C2B"/>
    <w:rsid w:val="00A57787"/>
    <w:rsid w:val="00A5796E"/>
    <w:rsid w:val="00A61867"/>
    <w:rsid w:val="00A63B1F"/>
    <w:rsid w:val="00A67106"/>
    <w:rsid w:val="00A676F9"/>
    <w:rsid w:val="00A67DAE"/>
    <w:rsid w:val="00A85868"/>
    <w:rsid w:val="00A87CE5"/>
    <w:rsid w:val="00A90323"/>
    <w:rsid w:val="00A9614A"/>
    <w:rsid w:val="00AA16AF"/>
    <w:rsid w:val="00AA1A1B"/>
    <w:rsid w:val="00AA1FEB"/>
    <w:rsid w:val="00AB0243"/>
    <w:rsid w:val="00AB172B"/>
    <w:rsid w:val="00AB2BDB"/>
    <w:rsid w:val="00AB3B66"/>
    <w:rsid w:val="00AB4A9E"/>
    <w:rsid w:val="00AB590E"/>
    <w:rsid w:val="00AC109D"/>
    <w:rsid w:val="00AC12F7"/>
    <w:rsid w:val="00AC51DB"/>
    <w:rsid w:val="00AD13C4"/>
    <w:rsid w:val="00AD1802"/>
    <w:rsid w:val="00AD191D"/>
    <w:rsid w:val="00AD2117"/>
    <w:rsid w:val="00AD38BF"/>
    <w:rsid w:val="00AD3FE9"/>
    <w:rsid w:val="00AD5A4C"/>
    <w:rsid w:val="00AE3172"/>
    <w:rsid w:val="00AE7162"/>
    <w:rsid w:val="00AF0A2E"/>
    <w:rsid w:val="00AF20D8"/>
    <w:rsid w:val="00AF3C6A"/>
    <w:rsid w:val="00AF5274"/>
    <w:rsid w:val="00AF576E"/>
    <w:rsid w:val="00B04259"/>
    <w:rsid w:val="00B04EE5"/>
    <w:rsid w:val="00B16E8E"/>
    <w:rsid w:val="00B257E0"/>
    <w:rsid w:val="00B3078B"/>
    <w:rsid w:val="00B30F74"/>
    <w:rsid w:val="00B40D1D"/>
    <w:rsid w:val="00B42FA9"/>
    <w:rsid w:val="00B46315"/>
    <w:rsid w:val="00B51EB4"/>
    <w:rsid w:val="00B556D2"/>
    <w:rsid w:val="00B57E30"/>
    <w:rsid w:val="00B600C4"/>
    <w:rsid w:val="00B7322C"/>
    <w:rsid w:val="00B82000"/>
    <w:rsid w:val="00B949D2"/>
    <w:rsid w:val="00B95AC4"/>
    <w:rsid w:val="00BA0C53"/>
    <w:rsid w:val="00BA2BCE"/>
    <w:rsid w:val="00BA7C68"/>
    <w:rsid w:val="00BB2373"/>
    <w:rsid w:val="00BB56B3"/>
    <w:rsid w:val="00BC2C33"/>
    <w:rsid w:val="00BC7D02"/>
    <w:rsid w:val="00BD5B3F"/>
    <w:rsid w:val="00BD62EA"/>
    <w:rsid w:val="00BE0E25"/>
    <w:rsid w:val="00BE255E"/>
    <w:rsid w:val="00BE713A"/>
    <w:rsid w:val="00BF20DB"/>
    <w:rsid w:val="00BF2D71"/>
    <w:rsid w:val="00BF3A9F"/>
    <w:rsid w:val="00BF70FC"/>
    <w:rsid w:val="00BF71C6"/>
    <w:rsid w:val="00C03DA0"/>
    <w:rsid w:val="00C04571"/>
    <w:rsid w:val="00C06E4D"/>
    <w:rsid w:val="00C10229"/>
    <w:rsid w:val="00C14FE0"/>
    <w:rsid w:val="00C202F4"/>
    <w:rsid w:val="00C2673E"/>
    <w:rsid w:val="00C26AE1"/>
    <w:rsid w:val="00C339CF"/>
    <w:rsid w:val="00C36167"/>
    <w:rsid w:val="00C40061"/>
    <w:rsid w:val="00C431C3"/>
    <w:rsid w:val="00C55CBD"/>
    <w:rsid w:val="00C602A1"/>
    <w:rsid w:val="00C62711"/>
    <w:rsid w:val="00C67AF4"/>
    <w:rsid w:val="00C7063A"/>
    <w:rsid w:val="00C74F15"/>
    <w:rsid w:val="00C76F0A"/>
    <w:rsid w:val="00C81930"/>
    <w:rsid w:val="00C9282A"/>
    <w:rsid w:val="00CA05FF"/>
    <w:rsid w:val="00CA408D"/>
    <w:rsid w:val="00CA71AD"/>
    <w:rsid w:val="00CB31D7"/>
    <w:rsid w:val="00CC22A7"/>
    <w:rsid w:val="00CC4EF5"/>
    <w:rsid w:val="00CD2ADD"/>
    <w:rsid w:val="00CD5EFF"/>
    <w:rsid w:val="00CD70BD"/>
    <w:rsid w:val="00CE7F02"/>
    <w:rsid w:val="00CF04E7"/>
    <w:rsid w:val="00CF10E1"/>
    <w:rsid w:val="00D0345E"/>
    <w:rsid w:val="00D04E0E"/>
    <w:rsid w:val="00D05476"/>
    <w:rsid w:val="00D05507"/>
    <w:rsid w:val="00D05EC0"/>
    <w:rsid w:val="00D1060D"/>
    <w:rsid w:val="00D11122"/>
    <w:rsid w:val="00D11BEA"/>
    <w:rsid w:val="00D1456F"/>
    <w:rsid w:val="00D1458D"/>
    <w:rsid w:val="00D15475"/>
    <w:rsid w:val="00D20D73"/>
    <w:rsid w:val="00D24643"/>
    <w:rsid w:val="00D25EC0"/>
    <w:rsid w:val="00D3058A"/>
    <w:rsid w:val="00D41A6C"/>
    <w:rsid w:val="00D42BC9"/>
    <w:rsid w:val="00D444A3"/>
    <w:rsid w:val="00D446E5"/>
    <w:rsid w:val="00D44B23"/>
    <w:rsid w:val="00D44E2E"/>
    <w:rsid w:val="00D513AD"/>
    <w:rsid w:val="00D538F3"/>
    <w:rsid w:val="00D559F0"/>
    <w:rsid w:val="00D575D4"/>
    <w:rsid w:val="00D57B1A"/>
    <w:rsid w:val="00D60C02"/>
    <w:rsid w:val="00D6460A"/>
    <w:rsid w:val="00D64672"/>
    <w:rsid w:val="00D64D03"/>
    <w:rsid w:val="00D65029"/>
    <w:rsid w:val="00D65D7B"/>
    <w:rsid w:val="00D670D4"/>
    <w:rsid w:val="00D74973"/>
    <w:rsid w:val="00D74B5E"/>
    <w:rsid w:val="00D93311"/>
    <w:rsid w:val="00D93B8A"/>
    <w:rsid w:val="00D97361"/>
    <w:rsid w:val="00DA1C6B"/>
    <w:rsid w:val="00DB6D8F"/>
    <w:rsid w:val="00DC7E83"/>
    <w:rsid w:val="00DD1B24"/>
    <w:rsid w:val="00DE1219"/>
    <w:rsid w:val="00DF019E"/>
    <w:rsid w:val="00DF4CDE"/>
    <w:rsid w:val="00E0390B"/>
    <w:rsid w:val="00E0699A"/>
    <w:rsid w:val="00E23B2B"/>
    <w:rsid w:val="00E2733A"/>
    <w:rsid w:val="00E32A25"/>
    <w:rsid w:val="00E33418"/>
    <w:rsid w:val="00E36325"/>
    <w:rsid w:val="00E36488"/>
    <w:rsid w:val="00E425B8"/>
    <w:rsid w:val="00E46A23"/>
    <w:rsid w:val="00E46D37"/>
    <w:rsid w:val="00E50A7F"/>
    <w:rsid w:val="00E51C00"/>
    <w:rsid w:val="00E565EB"/>
    <w:rsid w:val="00E61FD3"/>
    <w:rsid w:val="00E721FC"/>
    <w:rsid w:val="00E7323F"/>
    <w:rsid w:val="00E80EAE"/>
    <w:rsid w:val="00E8170B"/>
    <w:rsid w:val="00E84275"/>
    <w:rsid w:val="00E85592"/>
    <w:rsid w:val="00E86DA2"/>
    <w:rsid w:val="00E8701B"/>
    <w:rsid w:val="00E9068C"/>
    <w:rsid w:val="00E9530E"/>
    <w:rsid w:val="00EA3DBA"/>
    <w:rsid w:val="00EA468F"/>
    <w:rsid w:val="00EB4D53"/>
    <w:rsid w:val="00EB667A"/>
    <w:rsid w:val="00EB6AC5"/>
    <w:rsid w:val="00EB6E4F"/>
    <w:rsid w:val="00EC5D04"/>
    <w:rsid w:val="00ED6A36"/>
    <w:rsid w:val="00EE0E8F"/>
    <w:rsid w:val="00EE1BFF"/>
    <w:rsid w:val="00EE1EDB"/>
    <w:rsid w:val="00EF20B6"/>
    <w:rsid w:val="00F03CFF"/>
    <w:rsid w:val="00F0633A"/>
    <w:rsid w:val="00F12052"/>
    <w:rsid w:val="00F17F18"/>
    <w:rsid w:val="00F20B9E"/>
    <w:rsid w:val="00F2124A"/>
    <w:rsid w:val="00F2138E"/>
    <w:rsid w:val="00F21984"/>
    <w:rsid w:val="00F2658B"/>
    <w:rsid w:val="00F265E9"/>
    <w:rsid w:val="00F31AE9"/>
    <w:rsid w:val="00F32C7D"/>
    <w:rsid w:val="00F35D46"/>
    <w:rsid w:val="00F42296"/>
    <w:rsid w:val="00F42634"/>
    <w:rsid w:val="00F42B7D"/>
    <w:rsid w:val="00F43B89"/>
    <w:rsid w:val="00F507DE"/>
    <w:rsid w:val="00F50C4C"/>
    <w:rsid w:val="00F53669"/>
    <w:rsid w:val="00F5551C"/>
    <w:rsid w:val="00F56BD3"/>
    <w:rsid w:val="00F600C0"/>
    <w:rsid w:val="00F63E84"/>
    <w:rsid w:val="00F774DA"/>
    <w:rsid w:val="00F803A1"/>
    <w:rsid w:val="00F81C8C"/>
    <w:rsid w:val="00F959F4"/>
    <w:rsid w:val="00FA782E"/>
    <w:rsid w:val="00FA7ADC"/>
    <w:rsid w:val="00FB095C"/>
    <w:rsid w:val="00FB1472"/>
    <w:rsid w:val="00FB2C5B"/>
    <w:rsid w:val="00FB5495"/>
    <w:rsid w:val="00FB7058"/>
    <w:rsid w:val="00FC0656"/>
    <w:rsid w:val="00FC3828"/>
    <w:rsid w:val="00FC5C08"/>
    <w:rsid w:val="00FC7E1E"/>
    <w:rsid w:val="00FD2456"/>
    <w:rsid w:val="00FE4D5E"/>
    <w:rsid w:val="00FE51C1"/>
    <w:rsid w:val="00FE7C2F"/>
    <w:rsid w:val="00FF047D"/>
    <w:rsid w:val="00FF3006"/>
    <w:rsid w:val="00FF55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68E66"/>
  <w15:chartTrackingRefBased/>
  <w15:docId w15:val="{FBF205E0-2CCC-4EA7-A24D-30CCC2F6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133"/>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D1133"/>
    <w:pPr>
      <w:tabs>
        <w:tab w:val="center" w:pos="4252"/>
        <w:tab w:val="right" w:pos="8504"/>
      </w:tabs>
    </w:pPr>
    <w:rPr>
      <w:lang w:eastAsia="x-none"/>
    </w:rPr>
  </w:style>
  <w:style w:type="character" w:customStyle="1" w:styleId="EncabezadoCar">
    <w:name w:val="Encabezado Car"/>
    <w:basedOn w:val="Fuentedeprrafopredeter"/>
    <w:link w:val="Encabezado"/>
    <w:uiPriority w:val="99"/>
    <w:rsid w:val="001D1133"/>
    <w:rPr>
      <w:rFonts w:ascii="Times New Roman" w:eastAsia="Times New Roman" w:hAnsi="Times New Roman" w:cs="Times New Roman"/>
      <w:sz w:val="20"/>
      <w:szCs w:val="20"/>
      <w:lang w:val="es-ES_tradnl" w:eastAsia="x-none"/>
    </w:rPr>
  </w:style>
  <w:style w:type="paragraph" w:styleId="Piedepgina">
    <w:name w:val="footer"/>
    <w:basedOn w:val="Normal"/>
    <w:link w:val="PiedepginaCar"/>
    <w:uiPriority w:val="99"/>
    <w:rsid w:val="001D1133"/>
    <w:pPr>
      <w:tabs>
        <w:tab w:val="center" w:pos="4252"/>
        <w:tab w:val="right" w:pos="8504"/>
      </w:tabs>
    </w:pPr>
    <w:rPr>
      <w:lang w:eastAsia="x-none"/>
    </w:rPr>
  </w:style>
  <w:style w:type="character" w:customStyle="1" w:styleId="PiedepginaCar">
    <w:name w:val="Pie de página Car"/>
    <w:basedOn w:val="Fuentedeprrafopredeter"/>
    <w:link w:val="Piedepgina"/>
    <w:uiPriority w:val="99"/>
    <w:rsid w:val="001D1133"/>
    <w:rPr>
      <w:rFonts w:ascii="Times New Roman" w:eastAsia="Times New Roman" w:hAnsi="Times New Roman" w:cs="Times New Roman"/>
      <w:sz w:val="20"/>
      <w:szCs w:val="20"/>
      <w:lang w:val="es-ES_tradnl" w:eastAsia="x-none"/>
    </w:rPr>
  </w:style>
  <w:style w:type="character" w:styleId="Hipervnculo">
    <w:name w:val="Hyperlink"/>
    <w:uiPriority w:val="99"/>
    <w:rsid w:val="001D1133"/>
    <w:rPr>
      <w:color w:val="0000FF"/>
      <w:u w:val="single"/>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 Car Car,Ca,f,ft,Texto nota pie2"/>
    <w:basedOn w:val="Normal"/>
    <w:link w:val="TextonotapieCar1"/>
    <w:uiPriority w:val="99"/>
    <w:qFormat/>
    <w:rsid w:val="001D1133"/>
    <w:rPr>
      <w:lang w:val="es-ES"/>
    </w:rPr>
  </w:style>
  <w:style w:type="character" w:customStyle="1" w:styleId="TextonotapieCar">
    <w:name w:val="Texto nota pie Car"/>
    <w:aliases w:val="Ref. de nota al pie1 Car,Footnote Text Char Car,Footnote Text Char Char Char Char Char Char Char Char Car,texto de nota al pie Car"/>
    <w:basedOn w:val="Fuentedeprrafopredeter"/>
    <w:uiPriority w:val="99"/>
    <w:semiHidden/>
    <w:rsid w:val="001D1133"/>
    <w:rPr>
      <w:rFonts w:ascii="Times New Roman" w:eastAsia="Times New Roman" w:hAnsi="Times New Roman" w:cs="Times New Roman"/>
      <w:sz w:val="20"/>
      <w:szCs w:val="20"/>
      <w:lang w:val="es-ES_tradnl" w:eastAsia="es-ES"/>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FA Fu Car Car Car,Ca Car"/>
    <w:link w:val="Textonotapie"/>
    <w:uiPriority w:val="99"/>
    <w:rsid w:val="001D1133"/>
    <w:rPr>
      <w:rFonts w:ascii="Times New Roman" w:eastAsia="Times New Roman" w:hAnsi="Times New Roman" w:cs="Times New Roman"/>
      <w:sz w:val="20"/>
      <w:szCs w:val="20"/>
      <w:lang w:val="es-ES" w:eastAsia="es-ES"/>
    </w:rPr>
  </w:style>
  <w:style w:type="character" w:styleId="Refdenotaalpie">
    <w:name w:val="footnote reference"/>
    <w:aliases w:val="Ref,de nota al pie,FC,Appel note de bas de p,Ref. de nota al pie 2,Pie de Página,Texto de nota al pie,Texto de nota al p,Pie de Pàgina,F,Pie de P_gin,Pie de P_,Texto de nota al pi,Pie de P_g,Footnotes refss,Appel note de bas de page"/>
    <w:uiPriority w:val="99"/>
    <w:qFormat/>
    <w:rsid w:val="001D1133"/>
    <w:rPr>
      <w:vertAlign w:val="superscript"/>
    </w:rPr>
  </w:style>
  <w:style w:type="paragraph" w:customStyle="1" w:styleId="xmsonormal">
    <w:name w:val="x_msonormal"/>
    <w:basedOn w:val="Normal"/>
    <w:rsid w:val="001D1133"/>
    <w:pPr>
      <w:spacing w:before="100" w:beforeAutospacing="1" w:after="100" w:afterAutospacing="1"/>
    </w:pPr>
    <w:rPr>
      <w:sz w:val="24"/>
      <w:szCs w:val="24"/>
      <w:lang w:val="es-CO" w:eastAsia="es-CO"/>
    </w:rPr>
  </w:style>
  <w:style w:type="paragraph" w:styleId="NormalWeb">
    <w:name w:val="Normal (Web)"/>
    <w:basedOn w:val="Normal"/>
    <w:uiPriority w:val="99"/>
    <w:unhideWhenUsed/>
    <w:rsid w:val="001D1133"/>
    <w:pPr>
      <w:spacing w:before="100" w:beforeAutospacing="1" w:after="100" w:afterAutospacing="1"/>
    </w:pPr>
    <w:rPr>
      <w:sz w:val="24"/>
      <w:szCs w:val="24"/>
      <w:lang w:val="es-CO" w:eastAsia="es-CO"/>
    </w:rPr>
  </w:style>
  <w:style w:type="character" w:styleId="Textoennegrita">
    <w:name w:val="Strong"/>
    <w:basedOn w:val="Fuentedeprrafopredeter"/>
    <w:uiPriority w:val="22"/>
    <w:qFormat/>
    <w:rsid w:val="001D1133"/>
    <w:rPr>
      <w:b/>
      <w:bCs/>
    </w:rPr>
  </w:style>
  <w:style w:type="paragraph" w:styleId="Prrafodelista">
    <w:name w:val="List Paragraph"/>
    <w:basedOn w:val="Normal"/>
    <w:uiPriority w:val="34"/>
    <w:qFormat/>
    <w:rsid w:val="001D1133"/>
    <w:pPr>
      <w:spacing w:before="100" w:beforeAutospacing="1" w:after="100" w:afterAutospacing="1"/>
    </w:pPr>
    <w:rPr>
      <w:sz w:val="24"/>
      <w:szCs w:val="24"/>
      <w:lang w:val="es-CO" w:eastAsia="es-CO"/>
    </w:rPr>
  </w:style>
  <w:style w:type="character" w:customStyle="1" w:styleId="marklim5jpr1z">
    <w:name w:val="marklim5jpr1z"/>
    <w:basedOn w:val="Fuentedeprrafopredeter"/>
    <w:rsid w:val="00E8701B"/>
  </w:style>
  <w:style w:type="character" w:customStyle="1" w:styleId="mark54huh6ho4">
    <w:name w:val="mark54huh6ho4"/>
    <w:basedOn w:val="Fuentedeprrafopredeter"/>
    <w:rsid w:val="00E8701B"/>
  </w:style>
  <w:style w:type="character" w:styleId="Mencinsinresolver">
    <w:name w:val="Unresolved Mention"/>
    <w:basedOn w:val="Fuentedeprrafopredeter"/>
    <w:uiPriority w:val="99"/>
    <w:semiHidden/>
    <w:unhideWhenUsed/>
    <w:rsid w:val="00230E5E"/>
    <w:rPr>
      <w:color w:val="605E5C"/>
      <w:shd w:val="clear" w:color="auto" w:fill="E1DFDD"/>
    </w:rPr>
  </w:style>
  <w:style w:type="character" w:styleId="nfasis">
    <w:name w:val="Emphasis"/>
    <w:basedOn w:val="Fuentedeprrafopredeter"/>
    <w:uiPriority w:val="20"/>
    <w:qFormat/>
    <w:rsid w:val="0000454B"/>
    <w:rPr>
      <w:i/>
      <w:iCs/>
    </w:rPr>
  </w:style>
  <w:style w:type="paragraph" w:styleId="Sinespaciado">
    <w:name w:val="No Spacing"/>
    <w:uiPriority w:val="1"/>
    <w:qFormat/>
    <w:rsid w:val="00D1060D"/>
    <w:pPr>
      <w:spacing w:after="0" w:line="240" w:lineRule="auto"/>
    </w:pPr>
    <w:rPr>
      <w:rFonts w:ascii="Calibri" w:eastAsia="Times New Roman" w:hAnsi="Calibri" w:cs="Times New Roman"/>
    </w:rPr>
  </w:style>
  <w:style w:type="paragraph" w:customStyle="1" w:styleId="CitasCorte">
    <w:name w:val="Citas Corte"/>
    <w:basedOn w:val="Textonotapie"/>
    <w:link w:val="CitasCorteCar"/>
    <w:autoRedefine/>
    <w:qFormat/>
    <w:rsid w:val="00D1060D"/>
    <w:pPr>
      <w:jc w:val="both"/>
    </w:pPr>
    <w:rPr>
      <w:lang w:val="es-CO" w:eastAsia="en-US"/>
    </w:rPr>
  </w:style>
  <w:style w:type="character" w:customStyle="1" w:styleId="CitasCorteCar">
    <w:name w:val="Citas Corte Car"/>
    <w:link w:val="CitasCorte"/>
    <w:locked/>
    <w:rsid w:val="00D1060D"/>
    <w:rPr>
      <w:rFonts w:ascii="Times New Roman" w:eastAsia="Times New Roman" w:hAnsi="Times New Roman" w:cs="Times New Roman"/>
      <w:sz w:val="20"/>
      <w:szCs w:val="20"/>
    </w:rPr>
  </w:style>
  <w:style w:type="character" w:customStyle="1" w:styleId="markxoffhs61i">
    <w:name w:val="markxoffhs61i"/>
    <w:basedOn w:val="Fuentedeprrafopredeter"/>
    <w:rsid w:val="009F745C"/>
  </w:style>
  <w:style w:type="paragraph" w:styleId="Revisin">
    <w:name w:val="Revision"/>
    <w:hidden/>
    <w:uiPriority w:val="99"/>
    <w:semiHidden/>
    <w:rsid w:val="00261176"/>
    <w:pPr>
      <w:spacing w:after="0" w:line="240" w:lineRule="auto"/>
    </w:pPr>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1371DF"/>
    <w:rPr>
      <w:sz w:val="16"/>
      <w:szCs w:val="16"/>
    </w:rPr>
  </w:style>
  <w:style w:type="paragraph" w:styleId="Textocomentario">
    <w:name w:val="annotation text"/>
    <w:basedOn w:val="Normal"/>
    <w:link w:val="TextocomentarioCar"/>
    <w:uiPriority w:val="99"/>
    <w:unhideWhenUsed/>
    <w:rsid w:val="001371DF"/>
  </w:style>
  <w:style w:type="character" w:customStyle="1" w:styleId="TextocomentarioCar">
    <w:name w:val="Texto comentario Car"/>
    <w:basedOn w:val="Fuentedeprrafopredeter"/>
    <w:link w:val="Textocomentario"/>
    <w:uiPriority w:val="99"/>
    <w:rsid w:val="001371DF"/>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371DF"/>
    <w:rPr>
      <w:b/>
      <w:bCs/>
    </w:rPr>
  </w:style>
  <w:style w:type="character" w:customStyle="1" w:styleId="AsuntodelcomentarioCar">
    <w:name w:val="Asunto del comentario Car"/>
    <w:basedOn w:val="TextocomentarioCar"/>
    <w:link w:val="Asuntodelcomentario"/>
    <w:uiPriority w:val="99"/>
    <w:semiHidden/>
    <w:rsid w:val="001371DF"/>
    <w:rPr>
      <w:rFonts w:ascii="Times New Roman" w:eastAsia="Times New Roman" w:hAnsi="Times New Roman" w:cs="Times New Roman"/>
      <w:b/>
      <w:bCs/>
      <w:sz w:val="20"/>
      <w:szCs w:val="20"/>
      <w:lang w:val="es-ES_tradnl" w:eastAsia="es-ES"/>
    </w:rPr>
  </w:style>
  <w:style w:type="table" w:customStyle="1" w:styleId="TableGrid">
    <w:name w:val="TableGrid"/>
    <w:rsid w:val="00A014E9"/>
    <w:pPr>
      <w:spacing w:after="0" w:line="240" w:lineRule="auto"/>
    </w:pPr>
    <w:rPr>
      <w:rFonts w:eastAsiaTheme="minorEastAsia" w:cs="Times New Roman"/>
      <w:lang w:eastAsia="es-C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33829">
      <w:bodyDiv w:val="1"/>
      <w:marLeft w:val="0"/>
      <w:marRight w:val="0"/>
      <w:marTop w:val="0"/>
      <w:marBottom w:val="0"/>
      <w:divBdr>
        <w:top w:val="none" w:sz="0" w:space="0" w:color="auto"/>
        <w:left w:val="none" w:sz="0" w:space="0" w:color="auto"/>
        <w:bottom w:val="none" w:sz="0" w:space="0" w:color="auto"/>
        <w:right w:val="none" w:sz="0" w:space="0" w:color="auto"/>
      </w:divBdr>
    </w:div>
    <w:div w:id="751514525">
      <w:bodyDiv w:val="1"/>
      <w:marLeft w:val="0"/>
      <w:marRight w:val="0"/>
      <w:marTop w:val="0"/>
      <w:marBottom w:val="0"/>
      <w:divBdr>
        <w:top w:val="none" w:sz="0" w:space="0" w:color="auto"/>
        <w:left w:val="none" w:sz="0" w:space="0" w:color="auto"/>
        <w:bottom w:val="none" w:sz="0" w:space="0" w:color="auto"/>
        <w:right w:val="none" w:sz="0" w:space="0" w:color="auto"/>
      </w:divBdr>
    </w:div>
    <w:div w:id="1700663095">
      <w:bodyDiv w:val="1"/>
      <w:marLeft w:val="0"/>
      <w:marRight w:val="0"/>
      <w:marTop w:val="0"/>
      <w:marBottom w:val="0"/>
      <w:divBdr>
        <w:top w:val="none" w:sz="0" w:space="0" w:color="auto"/>
        <w:left w:val="none" w:sz="0" w:space="0" w:color="auto"/>
        <w:bottom w:val="none" w:sz="0" w:space="0" w:color="auto"/>
        <w:right w:val="none" w:sz="0" w:space="0" w:color="auto"/>
      </w:divBdr>
    </w:div>
    <w:div w:id="191319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azos@shd.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haciendabogota.gov.co" TargetMode="External"/><Relationship Id="rId1" Type="http://schemas.openxmlformats.org/officeDocument/2006/relationships/hyperlink" Target="http://www.haciendabogota.gov.c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BF529-AFF5-422D-8B16-9D095A1E5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1701</Words>
  <Characters>9359</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Murillo Herrera</dc:creator>
  <cp:keywords/>
  <dc:description/>
  <cp:lastModifiedBy>Leonardo Arturo Pazos Galindo</cp:lastModifiedBy>
  <cp:revision>2</cp:revision>
  <dcterms:created xsi:type="dcterms:W3CDTF">2022-10-04T05:01:00Z</dcterms:created>
  <dcterms:modified xsi:type="dcterms:W3CDTF">2022-10-04T05:01:00Z</dcterms:modified>
</cp:coreProperties>
</file>