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BFF92" w14:textId="77777777" w:rsidR="004B7773" w:rsidRPr="007C0C74" w:rsidRDefault="004B7773" w:rsidP="004B7773">
      <w:pPr>
        <w:spacing w:after="0" w:line="240" w:lineRule="auto"/>
        <w:jc w:val="both"/>
        <w:rPr>
          <w:rFonts w:ascii="Arial" w:hAnsi="Arial" w:cs="Arial"/>
        </w:rPr>
      </w:pPr>
      <w:r w:rsidRPr="007C0C74">
        <w:rPr>
          <w:rFonts w:ascii="Arial" w:hAnsi="Arial" w:cs="Arial"/>
        </w:rPr>
        <w:t>Bogotá</w:t>
      </w:r>
      <w:r w:rsidR="00302C52" w:rsidRPr="007C0C74">
        <w:rPr>
          <w:rFonts w:ascii="Arial" w:hAnsi="Arial" w:cs="Arial"/>
        </w:rPr>
        <w:t>,</w:t>
      </w:r>
      <w:r w:rsidRPr="007C0C74">
        <w:rPr>
          <w:rFonts w:ascii="Arial" w:hAnsi="Arial" w:cs="Arial"/>
        </w:rPr>
        <w:t xml:space="preserve"> D.C.</w:t>
      </w:r>
    </w:p>
    <w:p w14:paraId="2DE868F8" w14:textId="77777777" w:rsidR="004B7773" w:rsidRPr="007C0C74" w:rsidRDefault="004B7773" w:rsidP="004B7773">
      <w:pPr>
        <w:spacing w:after="0" w:line="240" w:lineRule="auto"/>
        <w:jc w:val="both"/>
        <w:rPr>
          <w:rFonts w:ascii="Arial" w:hAnsi="Arial" w:cs="Arial"/>
        </w:rPr>
      </w:pPr>
    </w:p>
    <w:p w14:paraId="480FBF45" w14:textId="77777777" w:rsidR="004B7773" w:rsidRPr="007C0C74" w:rsidRDefault="004B7773" w:rsidP="004B7773">
      <w:pPr>
        <w:spacing w:after="0" w:line="240" w:lineRule="auto"/>
        <w:jc w:val="both"/>
        <w:rPr>
          <w:rFonts w:ascii="Arial" w:hAnsi="Arial" w:cs="Arial"/>
        </w:rPr>
      </w:pPr>
      <w:r w:rsidRPr="007C0C74">
        <w:rPr>
          <w:rFonts w:ascii="Arial" w:hAnsi="Arial" w:cs="Arial"/>
        </w:rPr>
        <w:t>Doctora</w:t>
      </w:r>
    </w:p>
    <w:p w14:paraId="1F29975B" w14:textId="77777777" w:rsidR="004B7773" w:rsidRPr="007C0C74" w:rsidRDefault="00162083" w:rsidP="004B7773">
      <w:pPr>
        <w:spacing w:after="0" w:line="240" w:lineRule="auto"/>
        <w:jc w:val="both"/>
        <w:rPr>
          <w:rFonts w:ascii="Arial" w:hAnsi="Arial" w:cs="Arial"/>
          <w:b/>
          <w:bCs/>
        </w:rPr>
      </w:pPr>
      <w:r w:rsidRPr="007C0C74">
        <w:rPr>
          <w:rFonts w:ascii="Arial" w:hAnsi="Arial" w:cs="Arial"/>
          <w:b/>
          <w:bCs/>
        </w:rPr>
        <w:t>Sandra Narváez Castillo</w:t>
      </w:r>
    </w:p>
    <w:p w14:paraId="19A03702" w14:textId="77777777" w:rsidR="00647603" w:rsidRPr="007C0C74" w:rsidRDefault="00647603" w:rsidP="00003052">
      <w:pPr>
        <w:spacing w:after="0" w:line="240" w:lineRule="auto"/>
        <w:jc w:val="both"/>
        <w:rPr>
          <w:rFonts w:ascii="Arial" w:hAnsi="Arial" w:cs="Arial"/>
        </w:rPr>
      </w:pPr>
      <w:r w:rsidRPr="007C0C74">
        <w:rPr>
          <w:rFonts w:ascii="Arial" w:hAnsi="Arial" w:cs="Arial"/>
        </w:rPr>
        <w:t xml:space="preserve">Tesorera Distrital </w:t>
      </w:r>
    </w:p>
    <w:p w14:paraId="326AFD00" w14:textId="77777777" w:rsidR="004B7773" w:rsidRPr="007C0C74" w:rsidRDefault="004B7773" w:rsidP="004B7773">
      <w:pPr>
        <w:spacing w:after="0" w:line="240" w:lineRule="auto"/>
        <w:jc w:val="both"/>
        <w:rPr>
          <w:rFonts w:ascii="Arial" w:hAnsi="Arial" w:cs="Arial"/>
        </w:rPr>
      </w:pPr>
      <w:r w:rsidRPr="007C0C74">
        <w:rPr>
          <w:rFonts w:ascii="Arial" w:hAnsi="Arial" w:cs="Arial"/>
        </w:rPr>
        <w:t>Secretaría Distrital de Hacienda</w:t>
      </w:r>
    </w:p>
    <w:p w14:paraId="4D78C875" w14:textId="77777777" w:rsidR="00E5525D" w:rsidRPr="007C0C74" w:rsidRDefault="001A069F" w:rsidP="00E5525D">
      <w:pPr>
        <w:spacing w:after="0" w:line="240" w:lineRule="auto"/>
        <w:jc w:val="both"/>
        <w:rPr>
          <w:rFonts w:ascii="Arial" w:hAnsi="Arial" w:cs="Arial"/>
          <w:lang w:val="es-CO"/>
        </w:rPr>
      </w:pPr>
      <w:hyperlink r:id="rId8" w:history="1">
        <w:r w:rsidR="007C0C74" w:rsidRPr="007C0C74">
          <w:rPr>
            <w:rStyle w:val="Hipervnculo"/>
            <w:rFonts w:ascii="Arial" w:hAnsi="Arial" w:cs="Arial"/>
          </w:rPr>
          <w:t xml:space="preserve">Correo electrónico: </w:t>
        </w:r>
        <w:r w:rsidR="007C0C74" w:rsidRPr="007C0C74">
          <w:rPr>
            <w:rStyle w:val="Hipervnculo"/>
            <w:rFonts w:ascii="Arial" w:hAnsi="Arial" w:cs="Arial"/>
            <w:lang w:val="es-CO"/>
          </w:rPr>
          <w:t>snarvaez@shd.gov.co</w:t>
        </w:r>
      </w:hyperlink>
      <w:r w:rsidR="00E5525D" w:rsidRPr="007C0C74">
        <w:rPr>
          <w:rFonts w:ascii="Arial" w:hAnsi="Arial" w:cs="Arial"/>
          <w:lang w:val="es-CO"/>
        </w:rPr>
        <w:t xml:space="preserve"> </w:t>
      </w:r>
    </w:p>
    <w:p w14:paraId="2DAF1A14" w14:textId="77777777" w:rsidR="00A1297A" w:rsidRPr="007C0C74" w:rsidRDefault="004B7773" w:rsidP="004B7773">
      <w:pPr>
        <w:spacing w:after="0" w:line="240" w:lineRule="auto"/>
        <w:jc w:val="both"/>
        <w:rPr>
          <w:rFonts w:ascii="Arial" w:hAnsi="Arial" w:cs="Arial"/>
          <w:lang w:val="en-US"/>
        </w:rPr>
      </w:pPr>
      <w:r w:rsidRPr="007C0C74">
        <w:rPr>
          <w:rFonts w:ascii="Arial" w:hAnsi="Arial" w:cs="Arial"/>
          <w:lang w:val="en-US"/>
        </w:rPr>
        <w:t xml:space="preserve">NIT. </w:t>
      </w:r>
      <w:r w:rsidR="00A1297A" w:rsidRPr="007C0C74">
        <w:rPr>
          <w:rFonts w:ascii="Arial" w:hAnsi="Arial" w:cs="Arial"/>
          <w:lang w:val="en-US"/>
        </w:rPr>
        <w:t>899999061-9</w:t>
      </w:r>
    </w:p>
    <w:p w14:paraId="3188487C" w14:textId="77777777" w:rsidR="004B7773" w:rsidRPr="007C0C74" w:rsidRDefault="007C0C74" w:rsidP="004B7773">
      <w:pPr>
        <w:spacing w:after="0" w:line="240" w:lineRule="auto"/>
        <w:jc w:val="both"/>
        <w:rPr>
          <w:rFonts w:ascii="Arial" w:hAnsi="Arial" w:cs="Arial"/>
        </w:rPr>
      </w:pPr>
      <w:r>
        <w:rPr>
          <w:rFonts w:ascii="Arial" w:hAnsi="Arial" w:cs="Arial"/>
        </w:rPr>
        <w:t>Kr</w:t>
      </w:r>
      <w:r w:rsidR="004B7773" w:rsidRPr="007C0C74">
        <w:rPr>
          <w:rFonts w:ascii="Arial" w:hAnsi="Arial" w:cs="Arial"/>
        </w:rPr>
        <w:t xml:space="preserve"> 30 25 90</w:t>
      </w:r>
    </w:p>
    <w:p w14:paraId="54518102" w14:textId="77777777" w:rsidR="004B7773" w:rsidRPr="007C0C74" w:rsidRDefault="004B7773" w:rsidP="004B7773">
      <w:pPr>
        <w:spacing w:after="0" w:line="240" w:lineRule="auto"/>
        <w:jc w:val="both"/>
        <w:rPr>
          <w:rFonts w:ascii="Arial" w:hAnsi="Arial" w:cs="Arial"/>
        </w:rPr>
      </w:pPr>
    </w:p>
    <w:p w14:paraId="55CEF9E6" w14:textId="77777777" w:rsidR="00FA42B0" w:rsidRPr="00FF15C5" w:rsidRDefault="00E706B0" w:rsidP="00101AB6">
      <w:pPr>
        <w:spacing w:after="0" w:line="240" w:lineRule="auto"/>
        <w:jc w:val="center"/>
        <w:rPr>
          <w:rFonts w:ascii="Arial" w:hAnsi="Arial" w:cs="Arial"/>
          <w:b/>
          <w:bCs/>
          <w:sz w:val="24"/>
          <w:szCs w:val="24"/>
        </w:rPr>
      </w:pPr>
      <w:r w:rsidRPr="00FF15C5">
        <w:rPr>
          <w:rFonts w:ascii="Arial" w:hAnsi="Arial" w:cs="Arial"/>
          <w:b/>
          <w:bCs/>
          <w:sz w:val="24"/>
          <w:szCs w:val="24"/>
        </w:rPr>
        <w:t>CONCEPTO</w:t>
      </w:r>
    </w:p>
    <w:tbl>
      <w:tblPr>
        <w:tblStyle w:val="Tablaconcuadrcula"/>
        <w:tblW w:w="9067" w:type="dxa"/>
        <w:tblLook w:val="04A0" w:firstRow="1" w:lastRow="0" w:firstColumn="1" w:lastColumn="0" w:noHBand="0" w:noVBand="1"/>
      </w:tblPr>
      <w:tblGrid>
        <w:gridCol w:w="2405"/>
        <w:gridCol w:w="6662"/>
      </w:tblGrid>
      <w:tr w:rsidR="00FF15C5" w:rsidRPr="00FF15C5" w14:paraId="51102B47" w14:textId="77777777" w:rsidTr="00162083">
        <w:tc>
          <w:tcPr>
            <w:tcW w:w="2405" w:type="dxa"/>
          </w:tcPr>
          <w:p w14:paraId="0055D409" w14:textId="77777777" w:rsidR="005D4346" w:rsidRPr="00FF15C5" w:rsidRDefault="005D4346" w:rsidP="00CC74F3">
            <w:pPr>
              <w:jc w:val="both"/>
              <w:rPr>
                <w:rFonts w:ascii="Arial" w:hAnsi="Arial" w:cs="Arial"/>
                <w:sz w:val="20"/>
                <w:szCs w:val="20"/>
              </w:rPr>
            </w:pPr>
            <w:r w:rsidRPr="00FF15C5">
              <w:rPr>
                <w:rFonts w:ascii="Arial" w:hAnsi="Arial" w:cs="Arial"/>
                <w:sz w:val="20"/>
                <w:szCs w:val="20"/>
              </w:rPr>
              <w:t>Referencia</w:t>
            </w:r>
          </w:p>
        </w:tc>
        <w:tc>
          <w:tcPr>
            <w:tcW w:w="6662" w:type="dxa"/>
          </w:tcPr>
          <w:p w14:paraId="77B40AD3" w14:textId="77777777" w:rsidR="005D4346" w:rsidRPr="00FF15C5" w:rsidRDefault="009E02C6" w:rsidP="00CC74F3">
            <w:pPr>
              <w:jc w:val="both"/>
              <w:rPr>
                <w:rFonts w:ascii="Arial" w:hAnsi="Arial" w:cs="Arial"/>
                <w:sz w:val="20"/>
                <w:szCs w:val="20"/>
              </w:rPr>
            </w:pPr>
            <w:r w:rsidRPr="009E02C6">
              <w:rPr>
                <w:rFonts w:ascii="Arial" w:hAnsi="Arial" w:cs="Arial"/>
                <w:sz w:val="20"/>
                <w:szCs w:val="20"/>
              </w:rPr>
              <w:t>2022IE042957O1</w:t>
            </w:r>
          </w:p>
        </w:tc>
      </w:tr>
      <w:tr w:rsidR="00FF15C5" w:rsidRPr="00FF15C5" w14:paraId="43E63287" w14:textId="77777777" w:rsidTr="00162083">
        <w:tc>
          <w:tcPr>
            <w:tcW w:w="2405" w:type="dxa"/>
          </w:tcPr>
          <w:p w14:paraId="745916EF" w14:textId="77777777" w:rsidR="005D4346" w:rsidRPr="00FF15C5" w:rsidRDefault="00450F10" w:rsidP="00CC74F3">
            <w:pPr>
              <w:jc w:val="both"/>
              <w:rPr>
                <w:rFonts w:ascii="Arial" w:hAnsi="Arial" w:cs="Arial"/>
                <w:sz w:val="20"/>
                <w:szCs w:val="20"/>
              </w:rPr>
            </w:pPr>
            <w:r w:rsidRPr="00FF15C5">
              <w:rPr>
                <w:rFonts w:ascii="Arial" w:hAnsi="Arial" w:cs="Arial"/>
                <w:sz w:val="20"/>
                <w:szCs w:val="20"/>
              </w:rPr>
              <w:t xml:space="preserve">Descripción general </w:t>
            </w:r>
          </w:p>
        </w:tc>
        <w:tc>
          <w:tcPr>
            <w:tcW w:w="6662" w:type="dxa"/>
          </w:tcPr>
          <w:p w14:paraId="18D1CE5B" w14:textId="77777777" w:rsidR="005D4346" w:rsidRPr="00FF15C5" w:rsidRDefault="00F00B16" w:rsidP="00CC74F3">
            <w:pPr>
              <w:jc w:val="both"/>
              <w:rPr>
                <w:rFonts w:ascii="Arial" w:hAnsi="Arial" w:cs="Arial"/>
                <w:sz w:val="20"/>
                <w:szCs w:val="20"/>
              </w:rPr>
            </w:pPr>
            <w:r w:rsidRPr="00FF15C5">
              <w:rPr>
                <w:rFonts w:ascii="Arial" w:hAnsi="Arial" w:cs="Arial"/>
                <w:sz w:val="20"/>
                <w:szCs w:val="20"/>
              </w:rPr>
              <w:t>Tesorería</w:t>
            </w:r>
          </w:p>
        </w:tc>
      </w:tr>
      <w:tr w:rsidR="00FF15C5" w:rsidRPr="00FF15C5" w14:paraId="253B3293" w14:textId="77777777" w:rsidTr="00162083">
        <w:tc>
          <w:tcPr>
            <w:tcW w:w="2405" w:type="dxa"/>
          </w:tcPr>
          <w:p w14:paraId="712D4B18" w14:textId="77777777" w:rsidR="005D4346" w:rsidRPr="00FF15C5" w:rsidRDefault="0060135C" w:rsidP="00CC74F3">
            <w:pPr>
              <w:jc w:val="both"/>
              <w:rPr>
                <w:rFonts w:ascii="Arial" w:hAnsi="Arial" w:cs="Arial"/>
                <w:sz w:val="20"/>
                <w:szCs w:val="20"/>
              </w:rPr>
            </w:pPr>
            <w:r w:rsidRPr="00FF15C5">
              <w:rPr>
                <w:rFonts w:ascii="Arial" w:hAnsi="Arial" w:cs="Arial"/>
                <w:sz w:val="20"/>
                <w:szCs w:val="20"/>
              </w:rPr>
              <w:t>Descriptores especiales</w:t>
            </w:r>
          </w:p>
        </w:tc>
        <w:tc>
          <w:tcPr>
            <w:tcW w:w="6662" w:type="dxa"/>
          </w:tcPr>
          <w:p w14:paraId="71A6C0B1" w14:textId="77777777" w:rsidR="005D4346" w:rsidRPr="00FF15C5" w:rsidRDefault="009E02C6" w:rsidP="00CC74F3">
            <w:pPr>
              <w:jc w:val="both"/>
              <w:rPr>
                <w:rFonts w:ascii="Arial" w:hAnsi="Arial" w:cs="Arial"/>
                <w:sz w:val="20"/>
                <w:szCs w:val="20"/>
              </w:rPr>
            </w:pPr>
            <w:r>
              <w:rPr>
                <w:rFonts w:ascii="Arial" w:hAnsi="Arial" w:cs="Arial"/>
                <w:sz w:val="20"/>
                <w:szCs w:val="20"/>
              </w:rPr>
              <w:t>Apertura cuenta bancaria, obligaciones urbanísticas, P</w:t>
            </w:r>
            <w:r w:rsidR="007C0C74">
              <w:rPr>
                <w:rFonts w:ascii="Arial" w:hAnsi="Arial" w:cs="Arial"/>
                <w:sz w:val="20"/>
                <w:szCs w:val="20"/>
              </w:rPr>
              <w:t xml:space="preserve">lan de </w:t>
            </w:r>
            <w:r>
              <w:rPr>
                <w:rFonts w:ascii="Arial" w:hAnsi="Arial" w:cs="Arial"/>
                <w:sz w:val="20"/>
                <w:szCs w:val="20"/>
              </w:rPr>
              <w:t>O</w:t>
            </w:r>
            <w:r w:rsidR="007C0C74">
              <w:rPr>
                <w:rFonts w:ascii="Arial" w:hAnsi="Arial" w:cs="Arial"/>
                <w:sz w:val="20"/>
                <w:szCs w:val="20"/>
              </w:rPr>
              <w:t xml:space="preserve">rdenamiento </w:t>
            </w:r>
            <w:r>
              <w:rPr>
                <w:rFonts w:ascii="Arial" w:hAnsi="Arial" w:cs="Arial"/>
                <w:sz w:val="20"/>
                <w:szCs w:val="20"/>
              </w:rPr>
              <w:t>T</w:t>
            </w:r>
            <w:r w:rsidR="007C0C74">
              <w:rPr>
                <w:rFonts w:ascii="Arial" w:hAnsi="Arial" w:cs="Arial"/>
                <w:sz w:val="20"/>
                <w:szCs w:val="20"/>
              </w:rPr>
              <w:t>erritorial, suspensión provisional</w:t>
            </w:r>
            <w:r>
              <w:rPr>
                <w:rFonts w:ascii="Arial" w:hAnsi="Arial" w:cs="Arial"/>
                <w:sz w:val="20"/>
                <w:szCs w:val="20"/>
              </w:rPr>
              <w:t>.</w:t>
            </w:r>
          </w:p>
        </w:tc>
      </w:tr>
      <w:tr w:rsidR="00FF15C5" w:rsidRPr="00FF15C5" w14:paraId="08B87814" w14:textId="77777777" w:rsidTr="00162083">
        <w:tc>
          <w:tcPr>
            <w:tcW w:w="2405" w:type="dxa"/>
          </w:tcPr>
          <w:p w14:paraId="6B0FF702" w14:textId="77777777" w:rsidR="005D4346" w:rsidRPr="00FF15C5" w:rsidRDefault="0060135C" w:rsidP="00CC74F3">
            <w:pPr>
              <w:jc w:val="both"/>
              <w:rPr>
                <w:rFonts w:ascii="Arial" w:hAnsi="Arial" w:cs="Arial"/>
                <w:sz w:val="20"/>
                <w:szCs w:val="20"/>
              </w:rPr>
            </w:pPr>
            <w:r w:rsidRPr="00FF15C5">
              <w:rPr>
                <w:rFonts w:ascii="Arial" w:hAnsi="Arial" w:cs="Arial"/>
                <w:sz w:val="20"/>
                <w:szCs w:val="20"/>
              </w:rPr>
              <w:t xml:space="preserve">Problema </w:t>
            </w:r>
            <w:r w:rsidR="00427E93">
              <w:rPr>
                <w:rFonts w:ascii="Arial" w:hAnsi="Arial" w:cs="Arial"/>
                <w:sz w:val="20"/>
                <w:szCs w:val="20"/>
              </w:rPr>
              <w:t>j</w:t>
            </w:r>
            <w:r w:rsidRPr="00FF15C5">
              <w:rPr>
                <w:rFonts w:ascii="Arial" w:hAnsi="Arial" w:cs="Arial"/>
                <w:sz w:val="20"/>
                <w:szCs w:val="20"/>
              </w:rPr>
              <w:t>urídico</w:t>
            </w:r>
          </w:p>
        </w:tc>
        <w:tc>
          <w:tcPr>
            <w:tcW w:w="6662" w:type="dxa"/>
          </w:tcPr>
          <w:p w14:paraId="5E83FE1D" w14:textId="77777777" w:rsidR="005D4346" w:rsidRPr="007C0C74" w:rsidRDefault="009E02C6" w:rsidP="00CC74F3">
            <w:pPr>
              <w:jc w:val="both"/>
              <w:rPr>
                <w:rFonts w:ascii="Arial" w:hAnsi="Arial" w:cs="Arial"/>
                <w:i/>
                <w:iCs/>
                <w:sz w:val="20"/>
                <w:szCs w:val="20"/>
              </w:rPr>
            </w:pPr>
            <w:r w:rsidRPr="007C0C74">
              <w:rPr>
                <w:rFonts w:ascii="Arial" w:hAnsi="Arial" w:cs="Arial"/>
                <w:i/>
                <w:iCs/>
                <w:sz w:val="20"/>
                <w:szCs w:val="20"/>
              </w:rPr>
              <w:t xml:space="preserve">¿Procede la apertura de </w:t>
            </w:r>
            <w:r w:rsidR="007C0C74" w:rsidRPr="007C0C74">
              <w:rPr>
                <w:rFonts w:ascii="Arial" w:hAnsi="Arial" w:cs="Arial"/>
                <w:i/>
                <w:iCs/>
                <w:sz w:val="20"/>
                <w:szCs w:val="20"/>
              </w:rPr>
              <w:t xml:space="preserve">una </w:t>
            </w:r>
            <w:r w:rsidRPr="007C0C74">
              <w:rPr>
                <w:rFonts w:ascii="Arial" w:hAnsi="Arial" w:cs="Arial"/>
                <w:i/>
                <w:iCs/>
                <w:sz w:val="20"/>
                <w:szCs w:val="20"/>
              </w:rPr>
              <w:t xml:space="preserve">cuenta bancaria para el recaudo de </w:t>
            </w:r>
            <w:r w:rsidR="007C0C74" w:rsidRPr="007C0C74">
              <w:rPr>
                <w:rFonts w:ascii="Arial" w:hAnsi="Arial" w:cs="Arial"/>
                <w:i/>
                <w:iCs/>
                <w:sz w:val="20"/>
                <w:szCs w:val="20"/>
              </w:rPr>
              <w:t xml:space="preserve">las </w:t>
            </w:r>
            <w:r w:rsidRPr="007C0C74">
              <w:rPr>
                <w:rFonts w:ascii="Arial" w:hAnsi="Arial" w:cs="Arial"/>
                <w:i/>
                <w:iCs/>
                <w:sz w:val="20"/>
                <w:szCs w:val="20"/>
              </w:rPr>
              <w:t xml:space="preserve">obligaciones urbanísticas </w:t>
            </w:r>
            <w:r w:rsidR="007C0C74" w:rsidRPr="007C0C74">
              <w:rPr>
                <w:rFonts w:ascii="Arial" w:hAnsi="Arial" w:cs="Arial"/>
                <w:i/>
                <w:iCs/>
                <w:sz w:val="20"/>
                <w:szCs w:val="20"/>
              </w:rPr>
              <w:t>de las que trata los</w:t>
            </w:r>
            <w:r w:rsidRPr="007C0C74">
              <w:rPr>
                <w:rFonts w:ascii="Arial" w:hAnsi="Arial" w:cs="Arial"/>
                <w:i/>
                <w:iCs/>
                <w:sz w:val="20"/>
                <w:szCs w:val="20"/>
              </w:rPr>
              <w:t xml:space="preserve"> artículos 520 y 556 del </w:t>
            </w:r>
            <w:r w:rsidR="007C0C74" w:rsidRPr="007C0C74">
              <w:rPr>
                <w:rFonts w:ascii="Arial" w:hAnsi="Arial" w:cs="Arial"/>
                <w:i/>
                <w:iCs/>
                <w:sz w:val="20"/>
                <w:szCs w:val="20"/>
              </w:rPr>
              <w:t xml:space="preserve">Decreto Distrital 555 de 2021 </w:t>
            </w:r>
            <w:r w:rsidRPr="007C0C74">
              <w:rPr>
                <w:rFonts w:ascii="Arial" w:hAnsi="Arial" w:cs="Arial"/>
                <w:i/>
                <w:iCs/>
                <w:sz w:val="20"/>
                <w:szCs w:val="20"/>
              </w:rPr>
              <w:t xml:space="preserve">ante la suspensión provisional decretada por </w:t>
            </w:r>
            <w:r w:rsidR="007C0C74" w:rsidRPr="007C0C74">
              <w:rPr>
                <w:rFonts w:ascii="Arial" w:hAnsi="Arial" w:cs="Arial"/>
                <w:i/>
                <w:iCs/>
                <w:sz w:val="20"/>
                <w:szCs w:val="20"/>
              </w:rPr>
              <w:t xml:space="preserve">la </w:t>
            </w:r>
            <w:r w:rsidRPr="007C0C74">
              <w:rPr>
                <w:rFonts w:ascii="Arial" w:hAnsi="Arial" w:cs="Arial"/>
                <w:i/>
                <w:iCs/>
                <w:sz w:val="20"/>
                <w:szCs w:val="20"/>
              </w:rPr>
              <w:t>jurisdicción administrativa</w:t>
            </w:r>
            <w:r w:rsidR="00D830FD">
              <w:rPr>
                <w:rFonts w:ascii="Arial" w:hAnsi="Arial" w:cs="Arial"/>
                <w:i/>
                <w:iCs/>
                <w:sz w:val="20"/>
                <w:szCs w:val="20"/>
              </w:rPr>
              <w:t xml:space="preserve"> del mencionado Decreto</w:t>
            </w:r>
            <w:r w:rsidRPr="007C0C74">
              <w:rPr>
                <w:rFonts w:ascii="Arial" w:hAnsi="Arial" w:cs="Arial"/>
                <w:i/>
                <w:iCs/>
                <w:sz w:val="20"/>
                <w:szCs w:val="20"/>
              </w:rPr>
              <w:t>?</w:t>
            </w:r>
          </w:p>
        </w:tc>
      </w:tr>
      <w:tr w:rsidR="00FF15C5" w:rsidRPr="00FF15C5" w14:paraId="7177EB53" w14:textId="77777777" w:rsidTr="00162083">
        <w:tc>
          <w:tcPr>
            <w:tcW w:w="2405" w:type="dxa"/>
          </w:tcPr>
          <w:p w14:paraId="27E34D11" w14:textId="77777777" w:rsidR="005D4346" w:rsidRPr="00A92FB6" w:rsidRDefault="00F91547" w:rsidP="00CC74F3">
            <w:pPr>
              <w:jc w:val="both"/>
              <w:rPr>
                <w:rFonts w:ascii="Arial" w:hAnsi="Arial" w:cs="Arial"/>
                <w:sz w:val="20"/>
                <w:szCs w:val="20"/>
              </w:rPr>
            </w:pPr>
            <w:r w:rsidRPr="00A92FB6">
              <w:rPr>
                <w:rFonts w:ascii="Arial" w:hAnsi="Arial" w:cs="Arial"/>
                <w:sz w:val="20"/>
                <w:szCs w:val="20"/>
              </w:rPr>
              <w:t>Fuentes formales</w:t>
            </w:r>
          </w:p>
        </w:tc>
        <w:tc>
          <w:tcPr>
            <w:tcW w:w="6662" w:type="dxa"/>
          </w:tcPr>
          <w:p w14:paraId="561048AF" w14:textId="77777777" w:rsidR="00D830FD" w:rsidRPr="00D830FD" w:rsidRDefault="00D830FD" w:rsidP="00D830FD">
            <w:pPr>
              <w:jc w:val="both"/>
              <w:rPr>
                <w:rFonts w:ascii="Arial" w:hAnsi="Arial" w:cs="Arial"/>
                <w:sz w:val="20"/>
                <w:szCs w:val="20"/>
              </w:rPr>
            </w:pPr>
            <w:r w:rsidRPr="00D830FD">
              <w:rPr>
                <w:rFonts w:ascii="Arial" w:hAnsi="Arial" w:cs="Arial"/>
                <w:sz w:val="20"/>
                <w:szCs w:val="20"/>
              </w:rPr>
              <w:t>Constitución Política de Colombia: artículo 238</w:t>
            </w:r>
            <w:r w:rsidR="0026106F">
              <w:rPr>
                <w:rFonts w:ascii="Arial" w:hAnsi="Arial" w:cs="Arial"/>
                <w:sz w:val="20"/>
                <w:szCs w:val="20"/>
              </w:rPr>
              <w:t>.</w:t>
            </w:r>
          </w:p>
          <w:p w14:paraId="49C154AA" w14:textId="77777777" w:rsidR="00CA0221" w:rsidRPr="007C0C74" w:rsidRDefault="002264F0" w:rsidP="00D830FD">
            <w:pPr>
              <w:jc w:val="both"/>
              <w:rPr>
                <w:rFonts w:ascii="Arial" w:hAnsi="Arial" w:cs="Arial"/>
                <w:sz w:val="20"/>
                <w:szCs w:val="20"/>
                <w:highlight w:val="yellow"/>
              </w:rPr>
            </w:pPr>
            <w:r w:rsidRPr="00CA34FD">
              <w:rPr>
                <w:rFonts w:ascii="Arial" w:hAnsi="Arial" w:cs="Arial"/>
                <w:sz w:val="20"/>
                <w:szCs w:val="20"/>
              </w:rPr>
              <w:t xml:space="preserve">Ley 1437 de 2011: </w:t>
            </w:r>
            <w:r w:rsidR="00CA34FD" w:rsidRPr="00CA34FD">
              <w:rPr>
                <w:rFonts w:ascii="Arial" w:hAnsi="Arial" w:cs="Arial"/>
                <w:sz w:val="20"/>
                <w:szCs w:val="20"/>
              </w:rPr>
              <w:t>numeral 6</w:t>
            </w:r>
            <w:r w:rsidR="00CA34FD">
              <w:rPr>
                <w:rFonts w:ascii="Arial" w:hAnsi="Arial" w:cs="Arial"/>
                <w:sz w:val="20"/>
                <w:szCs w:val="20"/>
              </w:rPr>
              <w:t xml:space="preserve"> del </w:t>
            </w:r>
            <w:r w:rsidRPr="00CA34FD">
              <w:rPr>
                <w:rFonts w:ascii="Arial" w:hAnsi="Arial" w:cs="Arial"/>
                <w:sz w:val="20"/>
                <w:szCs w:val="20"/>
              </w:rPr>
              <w:t xml:space="preserve">artículo 9, </w:t>
            </w:r>
            <w:r w:rsidR="00CA34FD" w:rsidRPr="00CA34FD">
              <w:rPr>
                <w:rFonts w:ascii="Arial" w:hAnsi="Arial" w:cs="Arial"/>
                <w:sz w:val="20"/>
                <w:szCs w:val="20"/>
              </w:rPr>
              <w:t xml:space="preserve">artículos </w:t>
            </w:r>
            <w:r w:rsidRPr="00CA34FD">
              <w:rPr>
                <w:rFonts w:ascii="Arial" w:hAnsi="Arial" w:cs="Arial"/>
                <w:sz w:val="20"/>
                <w:szCs w:val="20"/>
              </w:rPr>
              <w:t>88</w:t>
            </w:r>
            <w:r w:rsidR="00D830FD" w:rsidRPr="00CA34FD">
              <w:rPr>
                <w:rFonts w:ascii="Arial" w:hAnsi="Arial" w:cs="Arial"/>
                <w:sz w:val="20"/>
                <w:szCs w:val="20"/>
              </w:rPr>
              <w:t>,</w:t>
            </w:r>
            <w:r w:rsidRPr="00CA34FD">
              <w:rPr>
                <w:rFonts w:ascii="Arial" w:hAnsi="Arial" w:cs="Arial"/>
                <w:sz w:val="20"/>
                <w:szCs w:val="20"/>
              </w:rPr>
              <w:t xml:space="preserve"> 91</w:t>
            </w:r>
            <w:r w:rsidR="00D830FD" w:rsidRPr="00CA34FD">
              <w:rPr>
                <w:rFonts w:ascii="Arial" w:hAnsi="Arial" w:cs="Arial"/>
                <w:sz w:val="20"/>
                <w:szCs w:val="20"/>
              </w:rPr>
              <w:t xml:space="preserve"> y 231</w:t>
            </w:r>
            <w:r w:rsidRPr="00CA34FD">
              <w:rPr>
                <w:rFonts w:ascii="Arial" w:hAnsi="Arial" w:cs="Arial"/>
                <w:sz w:val="20"/>
                <w:szCs w:val="20"/>
              </w:rPr>
              <w:t>.</w:t>
            </w:r>
          </w:p>
          <w:tbl>
            <w:tblPr>
              <w:tblW w:w="5993" w:type="dxa"/>
              <w:tblBorders>
                <w:top w:val="nil"/>
                <w:left w:val="nil"/>
                <w:bottom w:val="nil"/>
                <w:right w:val="nil"/>
              </w:tblBorders>
              <w:tblLook w:val="0000" w:firstRow="0" w:lastRow="0" w:firstColumn="0" w:lastColumn="0" w:noHBand="0" w:noVBand="0"/>
            </w:tblPr>
            <w:tblGrid>
              <w:gridCol w:w="5993"/>
            </w:tblGrid>
            <w:tr w:rsidR="00FF15C5" w:rsidRPr="002264F0" w14:paraId="2AA1538B" w14:textId="77777777" w:rsidTr="005755D7">
              <w:trPr>
                <w:trHeight w:val="602"/>
              </w:trPr>
              <w:tc>
                <w:tcPr>
                  <w:tcW w:w="5993" w:type="dxa"/>
                </w:tcPr>
                <w:p w14:paraId="18D9D799" w14:textId="77777777" w:rsidR="002560AC" w:rsidRPr="00D830FD" w:rsidRDefault="002560AC" w:rsidP="00D830FD">
                  <w:pPr>
                    <w:pStyle w:val="Default"/>
                    <w:ind w:left="-84"/>
                    <w:jc w:val="both"/>
                    <w:rPr>
                      <w:color w:val="auto"/>
                      <w:sz w:val="20"/>
                      <w:szCs w:val="20"/>
                    </w:rPr>
                  </w:pPr>
                  <w:r w:rsidRPr="00D830FD">
                    <w:rPr>
                      <w:color w:val="auto"/>
                      <w:sz w:val="20"/>
                      <w:szCs w:val="20"/>
                    </w:rPr>
                    <w:t>Decreto Distrital 555 de 2021: artículos 520 y 556.</w:t>
                  </w:r>
                </w:p>
                <w:p w14:paraId="7830DA40" w14:textId="77777777" w:rsidR="00CA34FD" w:rsidRDefault="00CA34FD" w:rsidP="00D830FD">
                  <w:pPr>
                    <w:pStyle w:val="Default"/>
                    <w:ind w:left="-84"/>
                    <w:jc w:val="both"/>
                    <w:rPr>
                      <w:color w:val="auto"/>
                      <w:sz w:val="20"/>
                      <w:szCs w:val="20"/>
                      <w:highlight w:val="yellow"/>
                    </w:rPr>
                  </w:pPr>
                  <w:r>
                    <w:rPr>
                      <w:color w:val="auto"/>
                      <w:sz w:val="20"/>
                      <w:szCs w:val="20"/>
                    </w:rPr>
                    <w:t xml:space="preserve">Sentencia, </w:t>
                  </w:r>
                  <w:r w:rsidRPr="00CA34FD">
                    <w:rPr>
                      <w:color w:val="auto"/>
                      <w:sz w:val="20"/>
                      <w:szCs w:val="20"/>
                    </w:rPr>
                    <w:t>Consejo de Estado, Sala de lo Contencioso Administrativo, Sección Primera, Consejero ponente: ROBERTO AUGUSTO SERRATO VALDÉS, Radicación número: 11001-03-24-000-2014-00302-00 del 28 de enero de 2019</w:t>
                  </w:r>
                  <w:r w:rsidR="009118C4">
                    <w:rPr>
                      <w:color w:val="auto"/>
                      <w:sz w:val="20"/>
                      <w:szCs w:val="20"/>
                    </w:rPr>
                    <w:t>.</w:t>
                  </w:r>
                </w:p>
                <w:p w14:paraId="0531C902" w14:textId="77777777" w:rsidR="00162083" w:rsidRDefault="00162083" w:rsidP="00D830FD">
                  <w:pPr>
                    <w:pStyle w:val="Default"/>
                    <w:ind w:left="-84"/>
                    <w:jc w:val="both"/>
                    <w:rPr>
                      <w:color w:val="auto"/>
                      <w:sz w:val="20"/>
                      <w:szCs w:val="20"/>
                      <w:highlight w:val="yellow"/>
                    </w:rPr>
                  </w:pPr>
                  <w:r w:rsidRPr="00162083">
                    <w:rPr>
                      <w:color w:val="auto"/>
                      <w:sz w:val="20"/>
                      <w:szCs w:val="20"/>
                    </w:rPr>
                    <w:t>Sentencia</w:t>
                  </w:r>
                  <w:r>
                    <w:rPr>
                      <w:color w:val="auto"/>
                      <w:sz w:val="20"/>
                      <w:szCs w:val="20"/>
                    </w:rPr>
                    <w:t>,</w:t>
                  </w:r>
                  <w:r w:rsidRPr="00162083">
                    <w:rPr>
                      <w:color w:val="auto"/>
                      <w:sz w:val="20"/>
                      <w:szCs w:val="20"/>
                    </w:rPr>
                    <w:t xml:space="preserve"> Corte Constitucional T-121 del 8 de marzo de 2016, con ponencia del Magistrado Gabriel Eduardo Mendoza Martelo</w:t>
                  </w:r>
                  <w:r>
                    <w:rPr>
                      <w:color w:val="auto"/>
                      <w:sz w:val="20"/>
                      <w:szCs w:val="20"/>
                    </w:rPr>
                    <w:t>.</w:t>
                  </w:r>
                </w:p>
                <w:p w14:paraId="61F8F9A9" w14:textId="77777777" w:rsidR="00CA34FD" w:rsidRPr="007C0C74" w:rsidRDefault="00F34372" w:rsidP="00D830FD">
                  <w:pPr>
                    <w:pStyle w:val="Default"/>
                    <w:ind w:left="-84"/>
                    <w:jc w:val="both"/>
                    <w:rPr>
                      <w:color w:val="auto"/>
                      <w:sz w:val="20"/>
                      <w:szCs w:val="20"/>
                      <w:highlight w:val="yellow"/>
                    </w:rPr>
                  </w:pPr>
                  <w:r>
                    <w:rPr>
                      <w:color w:val="auto"/>
                      <w:sz w:val="20"/>
                      <w:szCs w:val="20"/>
                    </w:rPr>
                    <w:t>Providencia de</w:t>
                  </w:r>
                  <w:r w:rsidRPr="00F34372">
                    <w:rPr>
                      <w:color w:val="auto"/>
                      <w:sz w:val="20"/>
                      <w:szCs w:val="20"/>
                    </w:rPr>
                    <w:t>l Tribunal Administrativo de Cundinamarca, Sección Primera - Subsección “A</w:t>
                  </w:r>
                  <w:proofErr w:type="gramStart"/>
                  <w:r w:rsidRPr="00F34372">
                    <w:rPr>
                      <w:color w:val="auto"/>
                      <w:sz w:val="20"/>
                      <w:szCs w:val="20"/>
                    </w:rPr>
                    <w:t>” ,</w:t>
                  </w:r>
                  <w:proofErr w:type="gramEnd"/>
                  <w:r w:rsidRPr="00F34372">
                    <w:rPr>
                      <w:color w:val="auto"/>
                      <w:sz w:val="20"/>
                      <w:szCs w:val="20"/>
                    </w:rPr>
                    <w:t xml:space="preserve"> </w:t>
                  </w:r>
                  <w:r>
                    <w:rPr>
                      <w:color w:val="auto"/>
                      <w:sz w:val="20"/>
                      <w:szCs w:val="20"/>
                    </w:rPr>
                    <w:t>del</w:t>
                  </w:r>
                  <w:r w:rsidRPr="00F34372">
                    <w:rPr>
                      <w:color w:val="auto"/>
                      <w:sz w:val="20"/>
                      <w:szCs w:val="20"/>
                    </w:rPr>
                    <w:t xml:space="preserve"> 22 de agosto de 2022 dentro del Proceso No.: 11001333400520220006601 </w:t>
                  </w:r>
                  <w:r>
                    <w:rPr>
                      <w:color w:val="auto"/>
                      <w:sz w:val="20"/>
                      <w:szCs w:val="20"/>
                    </w:rPr>
                    <w:t xml:space="preserve">donde se </w:t>
                  </w:r>
                  <w:r w:rsidRPr="00F34372">
                    <w:rPr>
                      <w:color w:val="auto"/>
                      <w:sz w:val="20"/>
                      <w:szCs w:val="20"/>
                    </w:rPr>
                    <w:t xml:space="preserve">revoca el auto de suspensión provisional </w:t>
                  </w:r>
                  <w:r>
                    <w:rPr>
                      <w:color w:val="auto"/>
                      <w:sz w:val="20"/>
                      <w:szCs w:val="20"/>
                    </w:rPr>
                    <w:t>del Decreto Distrital 555 de 2021.</w:t>
                  </w:r>
                </w:p>
                <w:p w14:paraId="278EC17B" w14:textId="77777777" w:rsidR="00CA0221" w:rsidRPr="002264F0" w:rsidRDefault="00CA0221" w:rsidP="00D830FD">
                  <w:pPr>
                    <w:pStyle w:val="Default"/>
                    <w:ind w:left="-84"/>
                    <w:jc w:val="both"/>
                    <w:rPr>
                      <w:color w:val="auto"/>
                      <w:sz w:val="20"/>
                      <w:szCs w:val="20"/>
                    </w:rPr>
                  </w:pPr>
                </w:p>
              </w:tc>
            </w:tr>
          </w:tbl>
          <w:p w14:paraId="0A0EB665" w14:textId="77777777" w:rsidR="005D4346" w:rsidRPr="002264F0" w:rsidRDefault="005D4346" w:rsidP="005755D7">
            <w:pPr>
              <w:ind w:left="-125"/>
              <w:jc w:val="both"/>
              <w:rPr>
                <w:rFonts w:ascii="Arial" w:hAnsi="Arial" w:cs="Arial"/>
                <w:sz w:val="20"/>
                <w:szCs w:val="20"/>
              </w:rPr>
            </w:pPr>
          </w:p>
        </w:tc>
      </w:tr>
    </w:tbl>
    <w:p w14:paraId="208BB68E" w14:textId="77777777" w:rsidR="005D4346" w:rsidRPr="00D830FD" w:rsidRDefault="005D4346" w:rsidP="00CC74F3">
      <w:pPr>
        <w:spacing w:after="0" w:line="240" w:lineRule="auto"/>
        <w:jc w:val="both"/>
        <w:rPr>
          <w:rFonts w:ascii="Arial" w:hAnsi="Arial" w:cs="Arial"/>
        </w:rPr>
      </w:pPr>
    </w:p>
    <w:p w14:paraId="2AE7328A" w14:textId="77777777" w:rsidR="00FA42B0" w:rsidRPr="00D830FD" w:rsidRDefault="00ED209A" w:rsidP="00CC74F3">
      <w:pPr>
        <w:spacing w:after="0" w:line="240" w:lineRule="auto"/>
        <w:jc w:val="both"/>
        <w:rPr>
          <w:rFonts w:ascii="Arial" w:hAnsi="Arial" w:cs="Arial"/>
          <w:b/>
          <w:bCs/>
          <w:shd w:val="clear" w:color="auto" w:fill="FFFFFF"/>
        </w:rPr>
      </w:pPr>
      <w:r w:rsidRPr="00D830FD">
        <w:rPr>
          <w:rFonts w:ascii="Arial" w:hAnsi="Arial" w:cs="Arial"/>
          <w:b/>
          <w:bCs/>
          <w:shd w:val="clear" w:color="auto" w:fill="FFFFFF"/>
        </w:rPr>
        <w:t>I</w:t>
      </w:r>
      <w:r w:rsidR="00C27AEB" w:rsidRPr="00D830FD">
        <w:rPr>
          <w:rFonts w:ascii="Arial" w:hAnsi="Arial" w:cs="Arial"/>
          <w:b/>
          <w:bCs/>
          <w:shd w:val="clear" w:color="auto" w:fill="FFFFFF"/>
        </w:rPr>
        <w:t>DENTIFICACIÓN DE LA CONSULTA</w:t>
      </w:r>
    </w:p>
    <w:p w14:paraId="028AA085" w14:textId="77777777" w:rsidR="00C27AEB" w:rsidRPr="00D830FD" w:rsidRDefault="00C27AEB" w:rsidP="00CC74F3">
      <w:pPr>
        <w:spacing w:after="0" w:line="240" w:lineRule="auto"/>
        <w:jc w:val="both"/>
        <w:rPr>
          <w:rFonts w:ascii="Arial" w:hAnsi="Arial" w:cs="Arial"/>
          <w:b/>
          <w:bCs/>
        </w:rPr>
      </w:pPr>
    </w:p>
    <w:p w14:paraId="1B3CAD44" w14:textId="77777777" w:rsidR="00F2319D" w:rsidRPr="00D830FD" w:rsidRDefault="00F2319D" w:rsidP="00815A89">
      <w:pPr>
        <w:spacing w:after="0" w:line="240" w:lineRule="auto"/>
        <w:ind w:right="-1"/>
        <w:jc w:val="both"/>
        <w:rPr>
          <w:rFonts w:ascii="Arial" w:hAnsi="Arial" w:cs="Arial"/>
          <w:shd w:val="clear" w:color="auto" w:fill="FFFFFF"/>
        </w:rPr>
      </w:pPr>
      <w:r w:rsidRPr="00D830FD">
        <w:rPr>
          <w:rFonts w:ascii="Arial" w:hAnsi="Arial" w:cs="Arial"/>
          <w:shd w:val="clear" w:color="auto" w:fill="FFFFFF"/>
        </w:rPr>
        <w:t xml:space="preserve">La Dirección Distrital de Tesorería consulta la viabilidad jurídica de realizar la apertura de la cuenta bancaria exclusiva para el recaudo de obligaciones urbanísticas de los artículos 520 </w:t>
      </w:r>
      <w:r w:rsidR="009F7640" w:rsidRPr="00D830FD">
        <w:rPr>
          <w:rFonts w:ascii="Arial" w:hAnsi="Arial" w:cs="Arial"/>
          <w:shd w:val="clear" w:color="auto" w:fill="FFFFFF"/>
        </w:rPr>
        <w:t xml:space="preserve">(Liquidación y recaudo del pago compensatorio de las obligaciones urbanísticas) </w:t>
      </w:r>
      <w:r w:rsidRPr="00D830FD">
        <w:rPr>
          <w:rFonts w:ascii="Arial" w:hAnsi="Arial" w:cs="Arial"/>
          <w:shd w:val="clear" w:color="auto" w:fill="FFFFFF"/>
        </w:rPr>
        <w:t xml:space="preserve">y 556 </w:t>
      </w:r>
      <w:r w:rsidR="00A1091C" w:rsidRPr="00D830FD">
        <w:rPr>
          <w:rFonts w:ascii="Arial" w:hAnsi="Arial" w:cs="Arial"/>
          <w:shd w:val="clear" w:color="auto" w:fill="FFFFFF"/>
        </w:rPr>
        <w:t xml:space="preserve">(Gestión y gerencia de los recursos dinerarios provenientes de instrumentos de financiación asociados al ordenamiento territorial) </w:t>
      </w:r>
      <w:r w:rsidRPr="00D830FD">
        <w:rPr>
          <w:rFonts w:ascii="Arial" w:hAnsi="Arial" w:cs="Arial"/>
          <w:shd w:val="clear" w:color="auto" w:fill="FFFFFF"/>
        </w:rPr>
        <w:t>del Decreto Distrital 555 de 2021</w:t>
      </w:r>
      <w:r w:rsidR="00E1158C" w:rsidRPr="00D830FD">
        <w:rPr>
          <w:rFonts w:ascii="Arial" w:hAnsi="Arial" w:cs="Arial"/>
          <w:shd w:val="clear" w:color="auto" w:fill="FFFFFF"/>
        </w:rPr>
        <w:t xml:space="preserve">, </w:t>
      </w:r>
      <w:r w:rsidR="00E1158C" w:rsidRPr="00D830FD">
        <w:rPr>
          <w:rFonts w:ascii="Arial" w:hAnsi="Arial" w:cs="Arial"/>
          <w:i/>
          <w:iCs/>
          <w:shd w:val="clear" w:color="auto" w:fill="FFFFFF"/>
        </w:rPr>
        <w:t>“Por el cual se adopta la revisión general del Plan de Ordenamiento Territorial de Bogotá D.C.”,</w:t>
      </w:r>
      <w:r w:rsidR="00E1158C" w:rsidRPr="00D830FD">
        <w:rPr>
          <w:rFonts w:ascii="Arial" w:hAnsi="Arial" w:cs="Arial"/>
          <w:shd w:val="clear" w:color="auto" w:fill="FFFFFF"/>
        </w:rPr>
        <w:t xml:space="preserve"> </w:t>
      </w:r>
      <w:r w:rsidRPr="00D830FD">
        <w:rPr>
          <w:rFonts w:ascii="Arial" w:hAnsi="Arial" w:cs="Arial"/>
          <w:shd w:val="clear" w:color="auto" w:fill="FFFFFF"/>
        </w:rPr>
        <w:t>frente a la declaratoria de suspensión provisional del</w:t>
      </w:r>
      <w:r w:rsidR="007C0C74" w:rsidRPr="00D830FD">
        <w:rPr>
          <w:rFonts w:ascii="Arial" w:hAnsi="Arial" w:cs="Arial"/>
          <w:shd w:val="clear" w:color="auto" w:fill="FFFFFF"/>
        </w:rPr>
        <w:t xml:space="preserve"> mencionado</w:t>
      </w:r>
      <w:r w:rsidR="00E1158C" w:rsidRPr="00D830FD">
        <w:rPr>
          <w:rFonts w:ascii="Arial" w:hAnsi="Arial" w:cs="Arial"/>
          <w:shd w:val="clear" w:color="auto" w:fill="FFFFFF"/>
        </w:rPr>
        <w:t xml:space="preserve"> Decreto</w:t>
      </w:r>
      <w:r w:rsidR="007C0C74" w:rsidRPr="00D830FD">
        <w:rPr>
          <w:rFonts w:ascii="Arial" w:hAnsi="Arial" w:cs="Arial"/>
          <w:shd w:val="clear" w:color="auto" w:fill="FFFFFF"/>
        </w:rPr>
        <w:t xml:space="preserve">, emitida el 14 de junio de 2022 </w:t>
      </w:r>
      <w:r w:rsidRPr="00D830FD">
        <w:rPr>
          <w:rFonts w:ascii="Arial" w:hAnsi="Arial" w:cs="Arial"/>
          <w:shd w:val="clear" w:color="auto" w:fill="FFFFFF"/>
        </w:rPr>
        <w:t>por el Juzgado Quinto Administrativo Oral del Circuito Judicial de Bogotá</w:t>
      </w:r>
      <w:r w:rsidR="0026106F">
        <w:rPr>
          <w:rFonts w:ascii="Arial" w:hAnsi="Arial" w:cs="Arial"/>
          <w:shd w:val="clear" w:color="auto" w:fill="FFFFFF"/>
        </w:rPr>
        <w:t xml:space="preserve"> dentro del proceso de nulidad simple</w:t>
      </w:r>
      <w:r w:rsidRPr="00D830FD">
        <w:rPr>
          <w:rFonts w:ascii="Arial" w:hAnsi="Arial" w:cs="Arial"/>
          <w:shd w:val="clear" w:color="auto" w:fill="FFFFFF"/>
        </w:rPr>
        <w:t>.</w:t>
      </w:r>
    </w:p>
    <w:p w14:paraId="01CFBDDC" w14:textId="77777777" w:rsidR="00F2319D" w:rsidRPr="00D830FD" w:rsidRDefault="00F2319D" w:rsidP="00815A89">
      <w:pPr>
        <w:spacing w:after="0" w:line="240" w:lineRule="auto"/>
        <w:ind w:right="-1"/>
        <w:jc w:val="both"/>
        <w:rPr>
          <w:rFonts w:ascii="Arial" w:hAnsi="Arial" w:cs="Arial"/>
          <w:shd w:val="clear" w:color="auto" w:fill="FFFFFF"/>
        </w:rPr>
      </w:pPr>
    </w:p>
    <w:p w14:paraId="19B35539" w14:textId="77777777" w:rsidR="007C0C74" w:rsidRPr="00D830FD" w:rsidRDefault="007C0C74" w:rsidP="007C0C74">
      <w:pPr>
        <w:spacing w:after="0" w:line="240" w:lineRule="auto"/>
        <w:jc w:val="both"/>
        <w:rPr>
          <w:rFonts w:ascii="Arial" w:hAnsi="Arial" w:cs="Arial"/>
          <w:b/>
          <w:bCs/>
        </w:rPr>
      </w:pPr>
      <w:r w:rsidRPr="00D830FD">
        <w:rPr>
          <w:rFonts w:ascii="Arial" w:hAnsi="Arial" w:cs="Arial"/>
          <w:b/>
          <w:bCs/>
        </w:rPr>
        <w:t xml:space="preserve">ANTECEDENTES </w:t>
      </w:r>
    </w:p>
    <w:p w14:paraId="0FD93D4F" w14:textId="77777777" w:rsidR="007C0C74" w:rsidRPr="00D830FD" w:rsidRDefault="007C0C74" w:rsidP="007C0C74">
      <w:pPr>
        <w:autoSpaceDE w:val="0"/>
        <w:autoSpaceDN w:val="0"/>
        <w:adjustRightInd w:val="0"/>
        <w:spacing w:after="0" w:line="240" w:lineRule="auto"/>
        <w:rPr>
          <w:rFonts w:ascii="Arial" w:hAnsi="Arial" w:cs="Arial"/>
        </w:rPr>
      </w:pPr>
    </w:p>
    <w:p w14:paraId="1C11C2C3" w14:textId="77777777" w:rsidR="007C0C74" w:rsidRPr="00D830FD" w:rsidRDefault="0026106F" w:rsidP="007C0C74">
      <w:pPr>
        <w:autoSpaceDE w:val="0"/>
        <w:autoSpaceDN w:val="0"/>
        <w:adjustRightInd w:val="0"/>
        <w:spacing w:after="0" w:line="240" w:lineRule="auto"/>
        <w:jc w:val="both"/>
        <w:rPr>
          <w:rFonts w:ascii="Arial" w:hAnsi="Arial" w:cs="Arial"/>
        </w:rPr>
      </w:pPr>
      <w:r>
        <w:rPr>
          <w:rFonts w:ascii="Arial" w:hAnsi="Arial" w:cs="Arial"/>
        </w:rPr>
        <w:t>L</w:t>
      </w:r>
      <w:r w:rsidR="007C0C74" w:rsidRPr="00D830FD">
        <w:rPr>
          <w:rFonts w:ascii="Arial" w:hAnsi="Arial" w:cs="Arial"/>
        </w:rPr>
        <w:t xml:space="preserve">a Secretaría Distrital de Planeación solicitó a la Dirección Distrital de Tesorería la apertura de una cuenta bancaria exclusiva para el recaudo de obligaciones urbanísticas generales y locales correspondientes a los artículos 520 y 556 del Decreto Distrital 555 de 2021. </w:t>
      </w:r>
    </w:p>
    <w:p w14:paraId="70697C1E" w14:textId="77777777" w:rsidR="007C0C74" w:rsidRPr="00D830FD" w:rsidRDefault="007C0C74" w:rsidP="007C0C74">
      <w:pPr>
        <w:autoSpaceDE w:val="0"/>
        <w:autoSpaceDN w:val="0"/>
        <w:adjustRightInd w:val="0"/>
        <w:spacing w:after="0" w:line="240" w:lineRule="auto"/>
        <w:rPr>
          <w:rFonts w:ascii="Arial" w:hAnsi="Arial" w:cs="Arial"/>
        </w:rPr>
      </w:pPr>
    </w:p>
    <w:p w14:paraId="19CB7D77" w14:textId="77777777" w:rsidR="007C0C74" w:rsidRPr="00D830FD" w:rsidRDefault="0026106F" w:rsidP="007C0C74">
      <w:pPr>
        <w:autoSpaceDE w:val="0"/>
        <w:autoSpaceDN w:val="0"/>
        <w:adjustRightInd w:val="0"/>
        <w:spacing w:after="0" w:line="240" w:lineRule="auto"/>
        <w:jc w:val="both"/>
        <w:rPr>
          <w:rFonts w:ascii="Arial" w:hAnsi="Arial" w:cs="Arial"/>
          <w:i/>
          <w:iCs/>
        </w:rPr>
      </w:pPr>
      <w:r w:rsidRPr="0026106F">
        <w:rPr>
          <w:rFonts w:ascii="Arial" w:hAnsi="Arial" w:cs="Arial"/>
        </w:rPr>
        <w:t>El 14 de junio de 2022</w:t>
      </w:r>
      <w:r w:rsidR="007C0C74" w:rsidRPr="00D830FD">
        <w:rPr>
          <w:rFonts w:ascii="Arial" w:hAnsi="Arial" w:cs="Arial"/>
        </w:rPr>
        <w:t>, mediante Auto Interlocutorio 66 de 2022 el Juzgado Quinto Administrativo Oral Seccional Primera del Circuito de Bogotá decretó la suspensión provisional de los efectos del Decreto Distrital 555 de 2021</w:t>
      </w:r>
      <w:r>
        <w:rPr>
          <w:rFonts w:ascii="Arial" w:hAnsi="Arial" w:cs="Arial"/>
        </w:rPr>
        <w:t>.</w:t>
      </w:r>
    </w:p>
    <w:p w14:paraId="2E990DBB" w14:textId="77777777" w:rsidR="007C0C74" w:rsidRPr="00D830FD" w:rsidRDefault="007C0C74" w:rsidP="007C0C74">
      <w:pPr>
        <w:autoSpaceDE w:val="0"/>
        <w:autoSpaceDN w:val="0"/>
        <w:adjustRightInd w:val="0"/>
        <w:spacing w:after="0" w:line="240" w:lineRule="auto"/>
        <w:rPr>
          <w:rFonts w:ascii="Arial" w:hAnsi="Arial" w:cs="Arial"/>
        </w:rPr>
      </w:pPr>
    </w:p>
    <w:p w14:paraId="40B08E0F" w14:textId="77777777" w:rsidR="007C0C74" w:rsidRPr="00D830FD" w:rsidRDefault="007C0C74" w:rsidP="007C0C74">
      <w:pPr>
        <w:spacing w:after="0" w:line="240" w:lineRule="auto"/>
        <w:jc w:val="both"/>
        <w:rPr>
          <w:rFonts w:ascii="Arial" w:hAnsi="Arial" w:cs="Arial"/>
        </w:rPr>
      </w:pPr>
      <w:r w:rsidRPr="00D830FD">
        <w:rPr>
          <w:rFonts w:ascii="Arial" w:hAnsi="Arial" w:cs="Arial"/>
        </w:rPr>
        <w:lastRenderedPageBreak/>
        <w:t>El 7 de julio de 2022, la Secretaría Distrital de Planeación informó a la Dirección Distrital Tesorería Distrital que algunas personas jurídicas han realizado pagos por concepto de obligaciones urbanísticas locales de redes en infraestructura del sistema pluvial, acueducto y alcantarillado sanitario según lo dispone el Decreto Distrital 555 de 2021, bajo el concepto de “cargas de edificabilidad” en el aplicativo SAP; solicitando que esos recursos recaudados sean encausados a obligaciones urbanísticas de los artículos 520 y 556 del Decreto Distrital 555 de 2021.</w:t>
      </w:r>
    </w:p>
    <w:p w14:paraId="5046A818" w14:textId="77777777" w:rsidR="007C0C74" w:rsidRDefault="007C0C74" w:rsidP="00815A89">
      <w:pPr>
        <w:spacing w:after="0" w:line="240" w:lineRule="auto"/>
        <w:ind w:right="-1"/>
        <w:jc w:val="both"/>
        <w:rPr>
          <w:rFonts w:ascii="Arial" w:hAnsi="Arial" w:cs="Arial"/>
          <w:sz w:val="24"/>
          <w:szCs w:val="24"/>
          <w:shd w:val="clear" w:color="auto" w:fill="FFFFFF"/>
        </w:rPr>
      </w:pPr>
    </w:p>
    <w:p w14:paraId="41AB87F8" w14:textId="77777777" w:rsidR="0068317A" w:rsidRPr="009118C4" w:rsidRDefault="0068317A" w:rsidP="00CC74F3">
      <w:pPr>
        <w:spacing w:after="0" w:line="240" w:lineRule="auto"/>
        <w:jc w:val="both"/>
        <w:rPr>
          <w:rFonts w:ascii="Arial" w:hAnsi="Arial" w:cs="Arial"/>
          <w:b/>
          <w:bCs/>
        </w:rPr>
      </w:pPr>
      <w:r w:rsidRPr="009118C4">
        <w:rPr>
          <w:rFonts w:ascii="Arial" w:hAnsi="Arial" w:cs="Arial"/>
          <w:b/>
          <w:bCs/>
        </w:rPr>
        <w:t>CONSIDERACIONES</w:t>
      </w:r>
    </w:p>
    <w:p w14:paraId="6C8C1A78" w14:textId="77777777" w:rsidR="00F77971" w:rsidRPr="009118C4" w:rsidRDefault="00F77971" w:rsidP="00EC615E">
      <w:pPr>
        <w:spacing w:after="0" w:line="240" w:lineRule="auto"/>
        <w:jc w:val="both"/>
        <w:rPr>
          <w:rFonts w:ascii="Arial" w:hAnsi="Arial" w:cs="Arial"/>
          <w:shd w:val="clear" w:color="auto" w:fill="FFFFFF"/>
        </w:rPr>
      </w:pPr>
    </w:p>
    <w:p w14:paraId="55E06494" w14:textId="77777777" w:rsidR="00862A93" w:rsidRPr="009118C4" w:rsidRDefault="00A52D57" w:rsidP="00D830FD">
      <w:pPr>
        <w:spacing w:after="0" w:line="240" w:lineRule="auto"/>
        <w:ind w:right="-1"/>
        <w:jc w:val="both"/>
        <w:rPr>
          <w:rFonts w:ascii="Arial" w:hAnsi="Arial" w:cs="Arial"/>
        </w:rPr>
      </w:pPr>
      <w:r w:rsidRPr="009118C4">
        <w:rPr>
          <w:rFonts w:ascii="Arial" w:hAnsi="Arial" w:cs="Arial"/>
        </w:rPr>
        <w:t xml:space="preserve">Para </w:t>
      </w:r>
      <w:r w:rsidR="007C0C74" w:rsidRPr="009118C4">
        <w:rPr>
          <w:rFonts w:ascii="Arial" w:hAnsi="Arial" w:cs="Arial"/>
        </w:rPr>
        <w:t>resolver el problema jurídico</w:t>
      </w:r>
      <w:r w:rsidRPr="009118C4">
        <w:rPr>
          <w:rFonts w:ascii="Arial" w:hAnsi="Arial" w:cs="Arial"/>
        </w:rPr>
        <w:t xml:space="preserve"> se considera pertinente </w:t>
      </w:r>
      <w:r w:rsidR="005B6A59" w:rsidRPr="009118C4">
        <w:rPr>
          <w:rFonts w:ascii="Arial" w:hAnsi="Arial" w:cs="Arial"/>
        </w:rPr>
        <w:t xml:space="preserve">analizar </w:t>
      </w:r>
      <w:r w:rsidRPr="009118C4">
        <w:rPr>
          <w:rFonts w:ascii="Arial" w:hAnsi="Arial" w:cs="Arial"/>
        </w:rPr>
        <w:t xml:space="preserve">los siguientes </w:t>
      </w:r>
      <w:r w:rsidR="007C0C74" w:rsidRPr="009118C4">
        <w:rPr>
          <w:rFonts w:ascii="Arial" w:hAnsi="Arial" w:cs="Arial"/>
        </w:rPr>
        <w:t>aspectos</w:t>
      </w:r>
      <w:r w:rsidR="0026106F">
        <w:rPr>
          <w:rFonts w:ascii="Arial" w:hAnsi="Arial" w:cs="Arial"/>
        </w:rPr>
        <w:t xml:space="preserve">: </w:t>
      </w:r>
      <w:r w:rsidR="007B061C" w:rsidRPr="009118C4">
        <w:rPr>
          <w:rFonts w:ascii="Arial" w:hAnsi="Arial" w:cs="Arial"/>
        </w:rPr>
        <w:t>1</w:t>
      </w:r>
      <w:r w:rsidR="001F6B1C" w:rsidRPr="009118C4">
        <w:rPr>
          <w:rFonts w:ascii="Arial" w:hAnsi="Arial" w:cs="Arial"/>
        </w:rPr>
        <w:t xml:space="preserve">) </w:t>
      </w:r>
      <w:r w:rsidR="00003052" w:rsidRPr="009118C4">
        <w:rPr>
          <w:rFonts w:ascii="Arial" w:hAnsi="Arial" w:cs="Arial"/>
        </w:rPr>
        <w:t>Efectos de la</w:t>
      </w:r>
      <w:r w:rsidR="007B061C" w:rsidRPr="009118C4">
        <w:rPr>
          <w:rFonts w:ascii="Arial" w:hAnsi="Arial" w:cs="Arial"/>
        </w:rPr>
        <w:t xml:space="preserve"> medida cautelar de</w:t>
      </w:r>
      <w:r w:rsidR="00003052" w:rsidRPr="009118C4">
        <w:rPr>
          <w:rFonts w:ascii="Arial" w:hAnsi="Arial" w:cs="Arial"/>
        </w:rPr>
        <w:t xml:space="preserve"> suspensión </w:t>
      </w:r>
      <w:r w:rsidR="001F6B1C" w:rsidRPr="009118C4">
        <w:rPr>
          <w:rFonts w:ascii="Arial" w:hAnsi="Arial" w:cs="Arial"/>
        </w:rPr>
        <w:t>provisional del</w:t>
      </w:r>
      <w:r w:rsidR="007B061C" w:rsidRPr="009118C4">
        <w:rPr>
          <w:rFonts w:ascii="Arial" w:hAnsi="Arial" w:cs="Arial"/>
        </w:rPr>
        <w:t xml:space="preserve"> Decreto Distrital 555 de 20</w:t>
      </w:r>
      <w:r w:rsidR="00D830FD" w:rsidRPr="009118C4">
        <w:rPr>
          <w:rFonts w:ascii="Arial" w:hAnsi="Arial" w:cs="Arial"/>
        </w:rPr>
        <w:t>2</w:t>
      </w:r>
      <w:r w:rsidR="007B061C" w:rsidRPr="009118C4">
        <w:rPr>
          <w:rFonts w:ascii="Arial" w:hAnsi="Arial" w:cs="Arial"/>
        </w:rPr>
        <w:t>1</w:t>
      </w:r>
      <w:r w:rsidR="00162083">
        <w:rPr>
          <w:rFonts w:ascii="Arial" w:hAnsi="Arial" w:cs="Arial"/>
        </w:rPr>
        <w:t xml:space="preserve"> y</w:t>
      </w:r>
      <w:r w:rsidR="007C0C74" w:rsidRPr="009118C4">
        <w:rPr>
          <w:rFonts w:ascii="Arial" w:hAnsi="Arial" w:cs="Arial"/>
        </w:rPr>
        <w:t xml:space="preserve"> 2) Situación actual del proceso judicial</w:t>
      </w:r>
      <w:r w:rsidR="007B061C" w:rsidRPr="009118C4">
        <w:rPr>
          <w:rFonts w:ascii="Arial" w:hAnsi="Arial" w:cs="Arial"/>
        </w:rPr>
        <w:t xml:space="preserve"> </w:t>
      </w:r>
      <w:r w:rsidR="00D830FD" w:rsidRPr="009118C4">
        <w:rPr>
          <w:rFonts w:ascii="Arial" w:hAnsi="Arial" w:cs="Arial"/>
        </w:rPr>
        <w:t>de nulidad simple del referido Decreto.</w:t>
      </w:r>
    </w:p>
    <w:p w14:paraId="1C7F6CB1" w14:textId="77777777" w:rsidR="00D830FD" w:rsidRPr="009118C4" w:rsidRDefault="00D830FD" w:rsidP="00D830FD">
      <w:pPr>
        <w:spacing w:after="0" w:line="240" w:lineRule="auto"/>
        <w:ind w:right="-1"/>
        <w:jc w:val="both"/>
        <w:rPr>
          <w:rFonts w:ascii="Arial" w:hAnsi="Arial" w:cs="Arial"/>
        </w:rPr>
      </w:pPr>
    </w:p>
    <w:p w14:paraId="5F797D7E" w14:textId="77777777" w:rsidR="00A40882" w:rsidRPr="009118C4" w:rsidRDefault="007B061C" w:rsidP="007C0C74">
      <w:pPr>
        <w:spacing w:after="0" w:line="240" w:lineRule="auto"/>
        <w:jc w:val="both"/>
        <w:rPr>
          <w:rFonts w:ascii="Arial" w:hAnsi="Arial" w:cs="Arial"/>
          <w:b/>
          <w:bCs/>
        </w:rPr>
      </w:pPr>
      <w:r w:rsidRPr="009118C4">
        <w:rPr>
          <w:rFonts w:ascii="Arial" w:hAnsi="Arial" w:cs="Arial"/>
          <w:b/>
          <w:bCs/>
        </w:rPr>
        <w:t>1</w:t>
      </w:r>
      <w:r w:rsidR="007C0C74" w:rsidRPr="009118C4">
        <w:rPr>
          <w:rFonts w:ascii="Arial" w:hAnsi="Arial" w:cs="Arial"/>
          <w:b/>
          <w:bCs/>
        </w:rPr>
        <w:t xml:space="preserve">) </w:t>
      </w:r>
      <w:r w:rsidR="00A40882" w:rsidRPr="009118C4">
        <w:rPr>
          <w:rFonts w:ascii="Arial" w:hAnsi="Arial" w:cs="Arial"/>
          <w:b/>
          <w:bCs/>
        </w:rPr>
        <w:t xml:space="preserve">Efectos de la suspensión provisional del </w:t>
      </w:r>
      <w:r w:rsidR="007C0C74" w:rsidRPr="009118C4">
        <w:rPr>
          <w:rFonts w:ascii="Arial" w:hAnsi="Arial" w:cs="Arial"/>
          <w:b/>
          <w:bCs/>
        </w:rPr>
        <w:t>Decreto Distrital 555 de 2021</w:t>
      </w:r>
    </w:p>
    <w:p w14:paraId="52D037A5" w14:textId="77777777" w:rsidR="007B061C" w:rsidRPr="009118C4" w:rsidRDefault="007B061C" w:rsidP="007B061C">
      <w:pPr>
        <w:spacing w:after="0" w:line="240" w:lineRule="auto"/>
        <w:jc w:val="both"/>
        <w:rPr>
          <w:rFonts w:ascii="Arial" w:hAnsi="Arial" w:cs="Arial"/>
        </w:rPr>
      </w:pPr>
    </w:p>
    <w:p w14:paraId="18F38BDC" w14:textId="77777777" w:rsidR="007B061C" w:rsidRPr="0029284A" w:rsidRDefault="007B061C" w:rsidP="007B061C">
      <w:pPr>
        <w:spacing w:after="0" w:line="240" w:lineRule="auto"/>
        <w:jc w:val="both"/>
        <w:rPr>
          <w:rFonts w:ascii="Arial" w:hAnsi="Arial" w:cs="Arial"/>
        </w:rPr>
      </w:pPr>
      <w:r w:rsidRPr="009118C4">
        <w:rPr>
          <w:rFonts w:ascii="Arial" w:hAnsi="Arial" w:cs="Arial"/>
        </w:rPr>
        <w:t>La figura de la suspensión provisional de los efectos de los actos administrativos encuentra sustento constitucional</w:t>
      </w:r>
      <w:r w:rsidRPr="0029284A">
        <w:rPr>
          <w:rFonts w:ascii="Arial" w:hAnsi="Arial" w:cs="Arial"/>
        </w:rPr>
        <w:t xml:space="preserve">: </w:t>
      </w:r>
    </w:p>
    <w:p w14:paraId="5249455F" w14:textId="77777777" w:rsidR="007B061C" w:rsidRDefault="007B061C" w:rsidP="007B061C">
      <w:pPr>
        <w:spacing w:after="0" w:line="240" w:lineRule="auto"/>
        <w:jc w:val="both"/>
        <w:rPr>
          <w:rFonts w:ascii="Arial" w:hAnsi="Arial" w:cs="Arial"/>
          <w:sz w:val="24"/>
          <w:szCs w:val="24"/>
        </w:rPr>
      </w:pPr>
    </w:p>
    <w:p w14:paraId="5FF72E2B" w14:textId="77777777" w:rsidR="007B061C" w:rsidRPr="0029284A" w:rsidRDefault="007B061C" w:rsidP="00162083">
      <w:pPr>
        <w:spacing w:after="0" w:line="240" w:lineRule="auto"/>
        <w:ind w:left="284" w:right="283"/>
        <w:jc w:val="both"/>
        <w:rPr>
          <w:rFonts w:ascii="Arial" w:hAnsi="Arial" w:cs="Arial"/>
          <w:i/>
          <w:iCs/>
          <w:sz w:val="20"/>
          <w:szCs w:val="20"/>
        </w:rPr>
      </w:pPr>
      <w:r w:rsidRPr="0026106F">
        <w:rPr>
          <w:rFonts w:ascii="Arial" w:hAnsi="Arial" w:cs="Arial"/>
          <w:i/>
          <w:iCs/>
          <w:sz w:val="20"/>
          <w:szCs w:val="20"/>
        </w:rPr>
        <w:t>“Artículo 238. La jurisdicción</w:t>
      </w:r>
      <w:r w:rsidRPr="0029284A">
        <w:rPr>
          <w:rFonts w:ascii="Arial" w:hAnsi="Arial" w:cs="Arial"/>
          <w:i/>
          <w:iCs/>
          <w:sz w:val="20"/>
          <w:szCs w:val="20"/>
        </w:rPr>
        <w:t xml:space="preserve"> de lo contencioso administrativo podrá suspender provisionalmente, por los motivos y con los requisitos que establezca la ley, los efectos de los actos administrativos que sean susceptibles de impugnación por vía judicial”.</w:t>
      </w:r>
    </w:p>
    <w:p w14:paraId="28B30D9A" w14:textId="77777777" w:rsidR="007B061C" w:rsidRDefault="007B061C" w:rsidP="007B061C">
      <w:pPr>
        <w:spacing w:after="0" w:line="240" w:lineRule="auto"/>
        <w:jc w:val="both"/>
        <w:rPr>
          <w:rFonts w:ascii="Arial" w:hAnsi="Arial" w:cs="Arial"/>
          <w:sz w:val="24"/>
          <w:szCs w:val="24"/>
        </w:rPr>
      </w:pPr>
    </w:p>
    <w:p w14:paraId="781D8896" w14:textId="77777777" w:rsidR="007B061C" w:rsidRPr="0029284A" w:rsidRDefault="00D830FD" w:rsidP="007B061C">
      <w:pPr>
        <w:spacing w:after="0" w:line="240" w:lineRule="auto"/>
        <w:jc w:val="both"/>
        <w:rPr>
          <w:rFonts w:ascii="Arial" w:hAnsi="Arial" w:cs="Arial"/>
        </w:rPr>
      </w:pPr>
      <w:r>
        <w:rPr>
          <w:rFonts w:ascii="Arial" w:hAnsi="Arial" w:cs="Arial"/>
        </w:rPr>
        <w:t xml:space="preserve">Esta </w:t>
      </w:r>
      <w:r w:rsidR="007B061C" w:rsidRPr="0029284A">
        <w:rPr>
          <w:rFonts w:ascii="Arial" w:hAnsi="Arial" w:cs="Arial"/>
        </w:rPr>
        <w:t xml:space="preserve">Disposición </w:t>
      </w:r>
      <w:r>
        <w:rPr>
          <w:rFonts w:ascii="Arial" w:hAnsi="Arial" w:cs="Arial"/>
        </w:rPr>
        <w:t>constitucional</w:t>
      </w:r>
      <w:r w:rsidR="007B061C">
        <w:rPr>
          <w:rFonts w:ascii="Arial" w:hAnsi="Arial" w:cs="Arial"/>
        </w:rPr>
        <w:t xml:space="preserve"> fue </w:t>
      </w:r>
      <w:r w:rsidR="007B061C" w:rsidRPr="0029284A">
        <w:rPr>
          <w:rFonts w:ascii="Arial" w:hAnsi="Arial" w:cs="Arial"/>
        </w:rPr>
        <w:t xml:space="preserve">desarrollada </w:t>
      </w:r>
      <w:r w:rsidR="007B061C">
        <w:rPr>
          <w:rFonts w:ascii="Arial" w:hAnsi="Arial" w:cs="Arial"/>
        </w:rPr>
        <w:t xml:space="preserve">a través del </w:t>
      </w:r>
      <w:r w:rsidR="007B061C" w:rsidRPr="0026106F">
        <w:rPr>
          <w:rFonts w:ascii="Arial" w:hAnsi="Arial" w:cs="Arial"/>
        </w:rPr>
        <w:t>artículo 231 de la Ley 1437 de 2011, de la siguiente manera:</w:t>
      </w:r>
    </w:p>
    <w:p w14:paraId="200DD2D0" w14:textId="77777777" w:rsidR="007B061C" w:rsidRDefault="007B061C" w:rsidP="007B061C">
      <w:pPr>
        <w:spacing w:after="0" w:line="240" w:lineRule="auto"/>
        <w:jc w:val="both"/>
        <w:rPr>
          <w:rFonts w:ascii="Arial" w:hAnsi="Arial" w:cs="Arial"/>
          <w:sz w:val="24"/>
          <w:szCs w:val="24"/>
        </w:rPr>
      </w:pPr>
    </w:p>
    <w:p w14:paraId="4D5D33D4" w14:textId="77777777" w:rsidR="007B061C" w:rsidRPr="00341E45" w:rsidRDefault="007B061C" w:rsidP="00162083">
      <w:pPr>
        <w:spacing w:after="0" w:line="240" w:lineRule="auto"/>
        <w:ind w:left="284" w:right="283"/>
        <w:jc w:val="both"/>
        <w:rPr>
          <w:rFonts w:ascii="Arial" w:hAnsi="Arial" w:cs="Arial"/>
          <w:i/>
          <w:iCs/>
          <w:sz w:val="24"/>
          <w:szCs w:val="24"/>
        </w:rPr>
      </w:pPr>
      <w:r w:rsidRPr="007B061C">
        <w:rPr>
          <w:rStyle w:val="Textoennegrita"/>
          <w:rFonts w:ascii="Arial" w:hAnsi="Arial" w:cs="Arial"/>
          <w:b w:val="0"/>
          <w:bCs w:val="0"/>
          <w:color w:val="000000"/>
          <w:sz w:val="20"/>
          <w:szCs w:val="20"/>
        </w:rPr>
        <w:t>“</w:t>
      </w:r>
      <w:r w:rsidRPr="007B061C">
        <w:rPr>
          <w:rStyle w:val="Textoennegrita"/>
          <w:rFonts w:ascii="Arial" w:hAnsi="Arial" w:cs="Arial"/>
          <w:b w:val="0"/>
          <w:bCs w:val="0"/>
          <w:i/>
          <w:iCs/>
          <w:color w:val="000000"/>
          <w:sz w:val="20"/>
          <w:szCs w:val="20"/>
        </w:rPr>
        <w:t>Artículo 231.</w:t>
      </w:r>
      <w:r w:rsidRPr="00341E45">
        <w:rPr>
          <w:rStyle w:val="nfasis"/>
          <w:rFonts w:ascii="Arial" w:hAnsi="Arial" w:cs="Arial"/>
          <w:i w:val="0"/>
          <w:iCs w:val="0"/>
          <w:color w:val="000000"/>
          <w:sz w:val="20"/>
          <w:szCs w:val="20"/>
        </w:rPr>
        <w:t> Requisitos para decretar las medidas cautelares. </w:t>
      </w:r>
      <w:r w:rsidRPr="00341E45">
        <w:rPr>
          <w:rFonts w:ascii="Arial" w:hAnsi="Arial" w:cs="Arial"/>
          <w:i/>
          <w:iCs/>
          <w:color w:val="000000"/>
          <w:sz w:val="20"/>
          <w:szCs w:val="20"/>
        </w:rPr>
        <w:t>Cuando se pretenda la nulidad de un acto administrativo, la suspensión provisional de sus efectos procederá por violación de las disposiciones invocadas en la demanda o en la solicitud que se realice en escrito separado, cuando tal violación surja del análisis del acto demandado y su confrontación con las normas superiores invocadas como violadas o del estudio de las pruebas allegadas con la solicitud. (…)”</w:t>
      </w:r>
    </w:p>
    <w:p w14:paraId="0B9A23AF" w14:textId="77777777" w:rsidR="007B061C" w:rsidRPr="00341E45" w:rsidRDefault="007B061C" w:rsidP="007B061C">
      <w:pPr>
        <w:spacing w:after="0" w:line="240" w:lineRule="auto"/>
        <w:ind w:left="284"/>
        <w:jc w:val="both"/>
        <w:rPr>
          <w:rFonts w:ascii="Arial" w:hAnsi="Arial" w:cs="Arial"/>
          <w:i/>
          <w:iCs/>
          <w:sz w:val="24"/>
          <w:szCs w:val="24"/>
        </w:rPr>
      </w:pPr>
    </w:p>
    <w:p w14:paraId="3357B7FB" w14:textId="77777777" w:rsidR="008F388A" w:rsidRPr="007B061C" w:rsidRDefault="008F388A" w:rsidP="00CC74F3">
      <w:pPr>
        <w:spacing w:after="0" w:line="240" w:lineRule="auto"/>
        <w:jc w:val="both"/>
        <w:rPr>
          <w:rFonts w:ascii="Arial" w:hAnsi="Arial" w:cs="Arial"/>
        </w:rPr>
      </w:pPr>
      <w:r w:rsidRPr="007B061C">
        <w:rPr>
          <w:rFonts w:ascii="Arial" w:hAnsi="Arial" w:cs="Arial"/>
        </w:rPr>
        <w:t xml:space="preserve">Los actos administrativos suspendidos por la Jurisdicción de lo Contencioso Administrativo tienen la prohibición de ejecución hasta tanto no se resuelva definitivamente su legalidad o se levante </w:t>
      </w:r>
      <w:r w:rsidR="00D858C6" w:rsidRPr="007B061C">
        <w:rPr>
          <w:rFonts w:ascii="Arial" w:hAnsi="Arial" w:cs="Arial"/>
        </w:rPr>
        <w:t>su</w:t>
      </w:r>
      <w:r w:rsidRPr="007B061C">
        <w:rPr>
          <w:rFonts w:ascii="Arial" w:hAnsi="Arial" w:cs="Arial"/>
        </w:rPr>
        <w:t xml:space="preserve"> medida cautelar, como establecen </w:t>
      </w:r>
      <w:r w:rsidR="007C0C74" w:rsidRPr="007B061C">
        <w:rPr>
          <w:rFonts w:ascii="Arial" w:hAnsi="Arial" w:cs="Arial"/>
        </w:rPr>
        <w:t xml:space="preserve">el </w:t>
      </w:r>
      <w:r w:rsidR="007C0C74" w:rsidRPr="0026106F">
        <w:rPr>
          <w:rFonts w:ascii="Arial" w:hAnsi="Arial" w:cs="Arial"/>
        </w:rPr>
        <w:t xml:space="preserve">numeral 6° del artículo </w:t>
      </w:r>
      <w:r w:rsidRPr="0026106F">
        <w:rPr>
          <w:rFonts w:ascii="Arial" w:hAnsi="Arial" w:cs="Arial"/>
        </w:rPr>
        <w:t>9</w:t>
      </w:r>
      <w:r w:rsidR="007C0C74" w:rsidRPr="0026106F">
        <w:rPr>
          <w:rFonts w:ascii="Arial" w:hAnsi="Arial" w:cs="Arial"/>
        </w:rPr>
        <w:t xml:space="preserve"> </w:t>
      </w:r>
      <w:r w:rsidR="003E05DB" w:rsidRPr="0026106F">
        <w:rPr>
          <w:rFonts w:ascii="Arial" w:hAnsi="Arial" w:cs="Arial"/>
        </w:rPr>
        <w:t xml:space="preserve">de la Ley 1437 de 2011, </w:t>
      </w:r>
      <w:r w:rsidRPr="0026106F">
        <w:rPr>
          <w:rFonts w:ascii="Arial" w:hAnsi="Arial" w:cs="Arial"/>
        </w:rPr>
        <w:t>en los siguientes términos:</w:t>
      </w:r>
    </w:p>
    <w:p w14:paraId="4739F5FE" w14:textId="77777777" w:rsidR="008F388A" w:rsidRPr="007B061C" w:rsidRDefault="008F388A" w:rsidP="00CC74F3">
      <w:pPr>
        <w:spacing w:after="0" w:line="240" w:lineRule="auto"/>
        <w:jc w:val="both"/>
        <w:rPr>
          <w:rFonts w:ascii="Arial" w:hAnsi="Arial" w:cs="Arial"/>
        </w:rPr>
      </w:pPr>
    </w:p>
    <w:p w14:paraId="159EFB00" w14:textId="77777777" w:rsidR="008F388A" w:rsidRPr="009118C4" w:rsidRDefault="008F388A" w:rsidP="00162083">
      <w:pPr>
        <w:spacing w:after="0" w:line="240" w:lineRule="auto"/>
        <w:ind w:left="284" w:right="283"/>
        <w:jc w:val="both"/>
        <w:rPr>
          <w:rFonts w:ascii="Arial" w:hAnsi="Arial" w:cs="Arial"/>
          <w:i/>
          <w:iCs/>
          <w:sz w:val="20"/>
          <w:szCs w:val="20"/>
        </w:rPr>
      </w:pPr>
      <w:r w:rsidRPr="009118C4">
        <w:rPr>
          <w:rFonts w:ascii="Arial" w:hAnsi="Arial" w:cs="Arial"/>
          <w:i/>
          <w:iCs/>
          <w:sz w:val="20"/>
          <w:szCs w:val="20"/>
        </w:rPr>
        <w:t>“</w:t>
      </w:r>
      <w:r w:rsidR="007C0C74" w:rsidRPr="009118C4">
        <w:rPr>
          <w:rFonts w:ascii="Arial" w:hAnsi="Arial" w:cs="Arial"/>
          <w:i/>
          <w:iCs/>
          <w:sz w:val="20"/>
          <w:szCs w:val="20"/>
        </w:rPr>
        <w:t xml:space="preserve">Artículo </w:t>
      </w:r>
      <w:r w:rsidRPr="009118C4">
        <w:rPr>
          <w:rFonts w:ascii="Arial" w:hAnsi="Arial" w:cs="Arial"/>
          <w:i/>
          <w:iCs/>
          <w:sz w:val="20"/>
          <w:szCs w:val="20"/>
        </w:rPr>
        <w:t>9o. PROHIBICIONES.</w:t>
      </w:r>
      <w:r w:rsidRPr="009118C4">
        <w:rPr>
          <w:rFonts w:ascii="Arial" w:hAnsi="Arial" w:cs="Arial"/>
          <w:b/>
          <w:bCs/>
          <w:i/>
          <w:iCs/>
          <w:sz w:val="20"/>
          <w:szCs w:val="20"/>
        </w:rPr>
        <w:t xml:space="preserve"> </w:t>
      </w:r>
      <w:r w:rsidRPr="009118C4">
        <w:rPr>
          <w:rFonts w:ascii="Arial" w:hAnsi="Arial" w:cs="Arial"/>
          <w:i/>
          <w:iCs/>
          <w:sz w:val="20"/>
          <w:szCs w:val="20"/>
        </w:rPr>
        <w:t xml:space="preserve">A las autoridades les queda especialmente prohibido: (…) </w:t>
      </w:r>
    </w:p>
    <w:p w14:paraId="0F0FEDCB" w14:textId="77777777" w:rsidR="008F388A" w:rsidRPr="009118C4" w:rsidRDefault="008F388A" w:rsidP="00162083">
      <w:pPr>
        <w:spacing w:after="0" w:line="240" w:lineRule="auto"/>
        <w:ind w:left="284" w:right="283"/>
        <w:jc w:val="both"/>
        <w:rPr>
          <w:rFonts w:ascii="Arial" w:hAnsi="Arial" w:cs="Arial"/>
          <w:sz w:val="20"/>
          <w:szCs w:val="20"/>
        </w:rPr>
      </w:pPr>
      <w:r w:rsidRPr="009118C4">
        <w:rPr>
          <w:rFonts w:ascii="Arial" w:hAnsi="Arial" w:cs="Arial"/>
          <w:b/>
          <w:bCs/>
          <w:i/>
          <w:iCs/>
          <w:sz w:val="20"/>
          <w:szCs w:val="20"/>
        </w:rPr>
        <w:t>6.</w:t>
      </w:r>
      <w:r w:rsidRPr="009118C4">
        <w:rPr>
          <w:rFonts w:ascii="Arial" w:hAnsi="Arial" w:cs="Arial"/>
          <w:i/>
          <w:iCs/>
          <w:sz w:val="20"/>
          <w:szCs w:val="20"/>
        </w:rPr>
        <w:t xml:space="preserve"> </w:t>
      </w:r>
      <w:r w:rsidRPr="009118C4">
        <w:rPr>
          <w:rFonts w:ascii="Arial" w:hAnsi="Arial" w:cs="Arial"/>
          <w:b/>
          <w:bCs/>
          <w:i/>
          <w:iCs/>
          <w:sz w:val="20"/>
          <w:szCs w:val="20"/>
        </w:rPr>
        <w:t>Reproducir</w:t>
      </w:r>
      <w:r w:rsidRPr="009118C4">
        <w:rPr>
          <w:rFonts w:ascii="Arial" w:hAnsi="Arial" w:cs="Arial"/>
          <w:i/>
          <w:iCs/>
          <w:sz w:val="20"/>
          <w:szCs w:val="20"/>
        </w:rPr>
        <w:t xml:space="preserve"> actos suspendidos o anulados por la Jurisdicción de lo Contencioso Administrativo </w:t>
      </w:r>
      <w:r w:rsidRPr="009118C4">
        <w:rPr>
          <w:rFonts w:ascii="Arial" w:hAnsi="Arial" w:cs="Arial"/>
          <w:b/>
          <w:bCs/>
          <w:i/>
          <w:iCs/>
          <w:sz w:val="20"/>
          <w:szCs w:val="20"/>
        </w:rPr>
        <w:t>cuando no hayan desaparecido los fundamentos legales de la anulación o suspensión</w:t>
      </w:r>
      <w:r w:rsidR="007C0C74" w:rsidRPr="009118C4">
        <w:rPr>
          <w:rFonts w:ascii="Arial" w:hAnsi="Arial" w:cs="Arial"/>
          <w:sz w:val="20"/>
          <w:szCs w:val="20"/>
        </w:rPr>
        <w:t>”</w:t>
      </w:r>
      <w:r w:rsidRPr="009118C4">
        <w:rPr>
          <w:rFonts w:ascii="Arial" w:hAnsi="Arial" w:cs="Arial"/>
          <w:sz w:val="20"/>
          <w:szCs w:val="20"/>
        </w:rPr>
        <w:t>.</w:t>
      </w:r>
      <w:r w:rsidR="007C0C74" w:rsidRPr="009118C4">
        <w:rPr>
          <w:rFonts w:ascii="Arial" w:hAnsi="Arial" w:cs="Arial"/>
          <w:sz w:val="20"/>
          <w:szCs w:val="20"/>
        </w:rPr>
        <w:t xml:space="preserve"> (Resaltado fuera de texto)</w:t>
      </w:r>
    </w:p>
    <w:p w14:paraId="71224076" w14:textId="77777777" w:rsidR="008F388A" w:rsidRPr="009118C4" w:rsidRDefault="008F388A" w:rsidP="008F388A">
      <w:pPr>
        <w:spacing w:after="0" w:line="240" w:lineRule="auto"/>
        <w:ind w:left="284" w:right="282"/>
        <w:jc w:val="both"/>
        <w:rPr>
          <w:rFonts w:ascii="Arial" w:hAnsi="Arial" w:cs="Arial"/>
          <w:i/>
          <w:iCs/>
          <w:sz w:val="20"/>
          <w:szCs w:val="20"/>
        </w:rPr>
      </w:pPr>
    </w:p>
    <w:p w14:paraId="4A0FE627" w14:textId="77777777" w:rsidR="007C0C74" w:rsidRPr="007C0C74" w:rsidRDefault="007C0C74" w:rsidP="007B061C">
      <w:pPr>
        <w:spacing w:after="0" w:line="240" w:lineRule="auto"/>
        <w:jc w:val="both"/>
        <w:rPr>
          <w:rFonts w:ascii="Arial" w:hAnsi="Arial" w:cs="Arial"/>
        </w:rPr>
      </w:pPr>
      <w:r>
        <w:rPr>
          <w:rFonts w:ascii="Arial" w:hAnsi="Arial" w:cs="Arial"/>
        </w:rPr>
        <w:t xml:space="preserve">En cuanto a la presunción de legalidad de los actos administrativos, respecto de la suspensión de </w:t>
      </w:r>
      <w:proofErr w:type="gramStart"/>
      <w:r>
        <w:rPr>
          <w:rFonts w:ascii="Arial" w:hAnsi="Arial" w:cs="Arial"/>
        </w:rPr>
        <w:t>los mismos</w:t>
      </w:r>
      <w:proofErr w:type="gramEnd"/>
      <w:r>
        <w:rPr>
          <w:rFonts w:ascii="Arial" w:hAnsi="Arial" w:cs="Arial"/>
        </w:rPr>
        <w:t xml:space="preserve"> la precitada Ley establece: </w:t>
      </w:r>
    </w:p>
    <w:p w14:paraId="5EFD4699" w14:textId="77777777" w:rsidR="007C0C74" w:rsidRDefault="007C0C74" w:rsidP="008F388A">
      <w:pPr>
        <w:spacing w:after="0" w:line="240" w:lineRule="auto"/>
        <w:ind w:left="284" w:right="282"/>
        <w:jc w:val="both"/>
        <w:rPr>
          <w:rFonts w:ascii="Arial" w:hAnsi="Arial" w:cs="Arial"/>
          <w:b/>
          <w:bCs/>
          <w:i/>
          <w:iCs/>
        </w:rPr>
      </w:pPr>
    </w:p>
    <w:p w14:paraId="358A5305" w14:textId="77777777" w:rsidR="007C0C74" w:rsidRPr="007B061C" w:rsidRDefault="007C0C74" w:rsidP="007C0C74">
      <w:pPr>
        <w:spacing w:after="0" w:line="240" w:lineRule="auto"/>
        <w:ind w:left="284" w:right="282"/>
        <w:jc w:val="both"/>
        <w:rPr>
          <w:rFonts w:ascii="Arial" w:hAnsi="Arial" w:cs="Arial"/>
          <w:sz w:val="20"/>
          <w:szCs w:val="20"/>
        </w:rPr>
      </w:pPr>
      <w:r w:rsidRPr="0026106F">
        <w:rPr>
          <w:rFonts w:ascii="Arial" w:hAnsi="Arial" w:cs="Arial"/>
          <w:b/>
          <w:bCs/>
          <w:i/>
          <w:iCs/>
          <w:sz w:val="20"/>
          <w:szCs w:val="20"/>
        </w:rPr>
        <w:t>“</w:t>
      </w:r>
      <w:r w:rsidRPr="0026106F">
        <w:rPr>
          <w:rFonts w:ascii="Arial" w:hAnsi="Arial" w:cs="Arial"/>
          <w:i/>
          <w:iCs/>
          <w:sz w:val="20"/>
          <w:szCs w:val="20"/>
        </w:rPr>
        <w:t xml:space="preserve">Artículo </w:t>
      </w:r>
      <w:r w:rsidR="008F388A" w:rsidRPr="0026106F">
        <w:rPr>
          <w:rFonts w:ascii="Arial" w:hAnsi="Arial" w:cs="Arial"/>
          <w:i/>
          <w:iCs/>
          <w:sz w:val="20"/>
          <w:szCs w:val="20"/>
        </w:rPr>
        <w:t>88. PRESUNCIÓN</w:t>
      </w:r>
      <w:r w:rsidR="008F388A" w:rsidRPr="007B061C">
        <w:rPr>
          <w:rFonts w:ascii="Arial" w:hAnsi="Arial" w:cs="Arial"/>
          <w:i/>
          <w:iCs/>
          <w:sz w:val="20"/>
          <w:szCs w:val="20"/>
        </w:rPr>
        <w:t xml:space="preserve"> DE LEGALIDAD DEL ACTO ADMINISTRATIVO</w:t>
      </w:r>
      <w:r w:rsidR="008F388A" w:rsidRPr="007B061C">
        <w:rPr>
          <w:rFonts w:ascii="Arial" w:hAnsi="Arial" w:cs="Arial"/>
          <w:b/>
          <w:bCs/>
          <w:i/>
          <w:iCs/>
          <w:sz w:val="20"/>
          <w:szCs w:val="20"/>
        </w:rPr>
        <w:t>.</w:t>
      </w:r>
      <w:r w:rsidR="008F388A" w:rsidRPr="007B061C">
        <w:rPr>
          <w:rFonts w:ascii="Arial" w:hAnsi="Arial" w:cs="Arial"/>
          <w:i/>
          <w:iCs/>
          <w:sz w:val="20"/>
          <w:szCs w:val="20"/>
        </w:rPr>
        <w:t xml:space="preserve"> Los actos administrativos se presumen legales mientras no hayan sido anulados por la Jurisdicción de lo Contencioso Administrativo. </w:t>
      </w:r>
      <w:r w:rsidR="008F388A" w:rsidRPr="007B061C">
        <w:rPr>
          <w:rFonts w:ascii="Arial" w:hAnsi="Arial" w:cs="Arial"/>
          <w:b/>
          <w:bCs/>
          <w:i/>
          <w:iCs/>
          <w:sz w:val="20"/>
          <w:szCs w:val="20"/>
        </w:rPr>
        <w:t>Cuando fueren suspendidos, no podrán ejecutarse hasta tanto se resuelva definitivamente sobre su legalidad o se levante dicha medida cautelar</w:t>
      </w:r>
      <w:r w:rsidRPr="007B061C">
        <w:rPr>
          <w:rFonts w:ascii="Arial" w:hAnsi="Arial" w:cs="Arial"/>
          <w:i/>
          <w:iCs/>
          <w:sz w:val="20"/>
          <w:szCs w:val="20"/>
        </w:rPr>
        <w:t>”</w:t>
      </w:r>
      <w:r w:rsidR="008F388A" w:rsidRPr="007B061C">
        <w:rPr>
          <w:rFonts w:ascii="Arial" w:hAnsi="Arial" w:cs="Arial"/>
          <w:i/>
          <w:iCs/>
          <w:sz w:val="20"/>
          <w:szCs w:val="20"/>
        </w:rPr>
        <w:t>.</w:t>
      </w:r>
      <w:r w:rsidRPr="007B061C">
        <w:rPr>
          <w:rFonts w:ascii="Arial" w:hAnsi="Arial" w:cs="Arial"/>
          <w:i/>
          <w:iCs/>
          <w:sz w:val="20"/>
          <w:szCs w:val="20"/>
        </w:rPr>
        <w:t xml:space="preserve"> </w:t>
      </w:r>
      <w:r w:rsidRPr="007B061C">
        <w:rPr>
          <w:rFonts w:ascii="Arial" w:hAnsi="Arial" w:cs="Arial"/>
          <w:sz w:val="20"/>
          <w:szCs w:val="20"/>
        </w:rPr>
        <w:t>(Resaltado fuera de texto)</w:t>
      </w:r>
    </w:p>
    <w:p w14:paraId="169FAED3" w14:textId="77777777" w:rsidR="008F388A" w:rsidRPr="007C0C74" w:rsidRDefault="008F388A" w:rsidP="007C0C74">
      <w:pPr>
        <w:spacing w:after="0" w:line="240" w:lineRule="auto"/>
        <w:ind w:left="284" w:right="282"/>
        <w:jc w:val="both"/>
        <w:rPr>
          <w:rFonts w:ascii="Arial" w:hAnsi="Arial" w:cs="Arial"/>
        </w:rPr>
      </w:pPr>
    </w:p>
    <w:p w14:paraId="07029D7D" w14:textId="77777777" w:rsidR="008F388A" w:rsidRPr="007B061C" w:rsidRDefault="007C0C74" w:rsidP="00162083">
      <w:pPr>
        <w:spacing w:after="0" w:line="240" w:lineRule="auto"/>
        <w:jc w:val="both"/>
        <w:rPr>
          <w:rFonts w:ascii="Arial" w:hAnsi="Arial" w:cs="Arial"/>
        </w:rPr>
      </w:pPr>
      <w:r w:rsidRPr="007B061C">
        <w:rPr>
          <w:rFonts w:ascii="Arial" w:hAnsi="Arial" w:cs="Arial"/>
        </w:rPr>
        <w:t>La misma Ley 1437 de 2011, precisa la obligatoriedad de los actos administrativos en los siguientes términos:</w:t>
      </w:r>
    </w:p>
    <w:p w14:paraId="0A6066CE" w14:textId="77777777" w:rsidR="007C0C74" w:rsidRPr="007B061C" w:rsidRDefault="007C0C74" w:rsidP="00162083">
      <w:pPr>
        <w:spacing w:after="0" w:line="240" w:lineRule="auto"/>
        <w:ind w:right="283"/>
        <w:jc w:val="both"/>
        <w:rPr>
          <w:rFonts w:ascii="Arial" w:hAnsi="Arial" w:cs="Arial"/>
        </w:rPr>
      </w:pPr>
    </w:p>
    <w:p w14:paraId="2F54AEA0" w14:textId="77777777" w:rsidR="008F388A" w:rsidRPr="007B061C" w:rsidRDefault="007C0C74" w:rsidP="00162083">
      <w:pPr>
        <w:spacing w:after="0" w:line="240" w:lineRule="auto"/>
        <w:ind w:left="284" w:right="283"/>
        <w:jc w:val="both"/>
        <w:rPr>
          <w:rFonts w:ascii="Arial" w:hAnsi="Arial" w:cs="Arial"/>
          <w:b/>
          <w:bCs/>
          <w:i/>
          <w:iCs/>
          <w:sz w:val="20"/>
          <w:szCs w:val="20"/>
        </w:rPr>
      </w:pPr>
      <w:r w:rsidRPr="007B061C">
        <w:rPr>
          <w:rFonts w:ascii="Arial" w:hAnsi="Arial" w:cs="Arial"/>
          <w:sz w:val="20"/>
          <w:szCs w:val="20"/>
        </w:rPr>
        <w:t>“</w:t>
      </w:r>
      <w:r w:rsidRPr="0026106F">
        <w:rPr>
          <w:rFonts w:ascii="Arial" w:hAnsi="Arial" w:cs="Arial"/>
          <w:i/>
          <w:iCs/>
          <w:sz w:val="20"/>
          <w:szCs w:val="20"/>
        </w:rPr>
        <w:t xml:space="preserve">Artículo </w:t>
      </w:r>
      <w:r w:rsidR="008F388A" w:rsidRPr="0026106F">
        <w:rPr>
          <w:rFonts w:ascii="Arial" w:hAnsi="Arial" w:cs="Arial"/>
          <w:i/>
          <w:iCs/>
          <w:sz w:val="20"/>
          <w:szCs w:val="20"/>
        </w:rPr>
        <w:t>91. PÉRDIDA DE EJECUTORIEDAD DEL ACTO ADMINISTRATIVO</w:t>
      </w:r>
      <w:r w:rsidR="008F388A" w:rsidRPr="007B061C">
        <w:rPr>
          <w:rFonts w:ascii="Arial" w:hAnsi="Arial" w:cs="Arial"/>
          <w:b/>
          <w:bCs/>
          <w:i/>
          <w:iCs/>
          <w:sz w:val="20"/>
          <w:szCs w:val="20"/>
        </w:rPr>
        <w:t>.</w:t>
      </w:r>
      <w:r w:rsidR="008F388A" w:rsidRPr="007B061C">
        <w:rPr>
          <w:rFonts w:ascii="Arial" w:hAnsi="Arial" w:cs="Arial"/>
          <w:i/>
          <w:iCs/>
          <w:sz w:val="20"/>
          <w:szCs w:val="20"/>
        </w:rPr>
        <w:t xml:space="preserve"> Salvo norma expresa en contrario, los actos administrativos en firme serán obligatorios mientras no hayan sido </w:t>
      </w:r>
      <w:r w:rsidR="008F388A" w:rsidRPr="007B061C">
        <w:rPr>
          <w:rFonts w:ascii="Arial" w:hAnsi="Arial" w:cs="Arial"/>
          <w:i/>
          <w:iCs/>
          <w:sz w:val="20"/>
          <w:szCs w:val="20"/>
        </w:rPr>
        <w:lastRenderedPageBreak/>
        <w:t xml:space="preserve">anulados por la Jurisdicción de lo Contencioso Administrativo. </w:t>
      </w:r>
      <w:r w:rsidR="008F388A" w:rsidRPr="007B061C">
        <w:rPr>
          <w:rFonts w:ascii="Arial" w:hAnsi="Arial" w:cs="Arial"/>
          <w:b/>
          <w:bCs/>
          <w:i/>
          <w:iCs/>
          <w:sz w:val="20"/>
          <w:szCs w:val="20"/>
        </w:rPr>
        <w:t>Perderán obligatoriedad y, por lo tanto, no podrán ser ejecutados en los siguientes casos:</w:t>
      </w:r>
    </w:p>
    <w:p w14:paraId="5EBBF608" w14:textId="77777777" w:rsidR="008F388A" w:rsidRPr="007B061C" w:rsidRDefault="008F388A" w:rsidP="00162083">
      <w:pPr>
        <w:spacing w:after="0" w:line="240" w:lineRule="auto"/>
        <w:ind w:left="284" w:right="283"/>
        <w:jc w:val="both"/>
        <w:rPr>
          <w:rFonts w:ascii="Arial" w:hAnsi="Arial" w:cs="Arial"/>
          <w:i/>
          <w:iCs/>
          <w:sz w:val="20"/>
          <w:szCs w:val="20"/>
        </w:rPr>
      </w:pPr>
    </w:p>
    <w:p w14:paraId="6BDA7CCD" w14:textId="77777777" w:rsidR="008F388A" w:rsidRPr="007B061C" w:rsidRDefault="008F388A" w:rsidP="00162083">
      <w:pPr>
        <w:spacing w:after="0" w:line="240" w:lineRule="auto"/>
        <w:ind w:left="284" w:right="283"/>
        <w:jc w:val="both"/>
        <w:rPr>
          <w:rFonts w:ascii="Arial" w:hAnsi="Arial" w:cs="Arial"/>
          <w:i/>
          <w:iCs/>
          <w:sz w:val="20"/>
          <w:szCs w:val="20"/>
        </w:rPr>
      </w:pPr>
      <w:r w:rsidRPr="007B061C">
        <w:rPr>
          <w:rFonts w:ascii="Arial" w:hAnsi="Arial" w:cs="Arial"/>
          <w:b/>
          <w:bCs/>
          <w:i/>
          <w:iCs/>
          <w:sz w:val="20"/>
          <w:szCs w:val="20"/>
        </w:rPr>
        <w:t>1.</w:t>
      </w:r>
      <w:r w:rsidRPr="007B061C">
        <w:rPr>
          <w:rFonts w:ascii="Arial" w:hAnsi="Arial" w:cs="Arial"/>
          <w:i/>
          <w:iCs/>
          <w:sz w:val="20"/>
          <w:szCs w:val="20"/>
        </w:rPr>
        <w:t xml:space="preserve"> </w:t>
      </w:r>
      <w:r w:rsidRPr="007B061C">
        <w:rPr>
          <w:rFonts w:ascii="Arial" w:hAnsi="Arial" w:cs="Arial"/>
          <w:b/>
          <w:bCs/>
          <w:i/>
          <w:iCs/>
          <w:sz w:val="20"/>
          <w:szCs w:val="20"/>
        </w:rPr>
        <w:t>Cuando sean suspendidos provisionalmente sus efectos por la Jurisdicción de lo Contencioso Administrativo</w:t>
      </w:r>
      <w:r w:rsidRPr="007B061C">
        <w:rPr>
          <w:rFonts w:ascii="Arial" w:hAnsi="Arial" w:cs="Arial"/>
          <w:i/>
          <w:iCs/>
          <w:sz w:val="20"/>
          <w:szCs w:val="20"/>
        </w:rPr>
        <w:t>.”</w:t>
      </w:r>
      <w:r w:rsidR="007C0C74" w:rsidRPr="007B061C">
        <w:rPr>
          <w:rFonts w:ascii="Arial" w:hAnsi="Arial" w:cs="Arial"/>
          <w:i/>
          <w:iCs/>
          <w:sz w:val="20"/>
          <w:szCs w:val="20"/>
        </w:rPr>
        <w:t xml:space="preserve"> </w:t>
      </w:r>
      <w:r w:rsidR="007C0C74" w:rsidRPr="007B061C">
        <w:rPr>
          <w:rFonts w:ascii="Arial" w:hAnsi="Arial" w:cs="Arial"/>
          <w:sz w:val="20"/>
          <w:szCs w:val="20"/>
        </w:rPr>
        <w:t>(Resaltado fuera de texto)</w:t>
      </w:r>
    </w:p>
    <w:p w14:paraId="37F2B3E4" w14:textId="77777777" w:rsidR="008F388A" w:rsidRPr="007B061C" w:rsidRDefault="008F388A" w:rsidP="00CC74F3">
      <w:pPr>
        <w:spacing w:after="0" w:line="240" w:lineRule="auto"/>
        <w:jc w:val="both"/>
        <w:rPr>
          <w:rFonts w:ascii="Arial" w:hAnsi="Arial" w:cs="Arial"/>
        </w:rPr>
      </w:pPr>
    </w:p>
    <w:p w14:paraId="74EC0F8F" w14:textId="77777777" w:rsidR="0029284A" w:rsidRPr="007B061C" w:rsidRDefault="00341E45" w:rsidP="007B061C">
      <w:pPr>
        <w:spacing w:after="0" w:line="240" w:lineRule="auto"/>
        <w:ind w:right="-284"/>
        <w:jc w:val="both"/>
        <w:rPr>
          <w:rFonts w:ascii="Arial" w:hAnsi="Arial" w:cs="Arial"/>
        </w:rPr>
      </w:pPr>
      <w:r w:rsidRPr="007B061C">
        <w:rPr>
          <w:rFonts w:ascii="Arial" w:hAnsi="Arial" w:cs="Arial"/>
        </w:rPr>
        <w:t xml:space="preserve">Al respecto el </w:t>
      </w:r>
      <w:r w:rsidRPr="0026106F">
        <w:rPr>
          <w:rFonts w:ascii="Arial" w:hAnsi="Arial" w:cs="Arial"/>
        </w:rPr>
        <w:t>Consejo de Estado</w:t>
      </w:r>
      <w:r w:rsidR="004E02DE" w:rsidRPr="0026106F">
        <w:rPr>
          <w:rStyle w:val="Refdenotaalpie"/>
          <w:rFonts w:ascii="Arial" w:hAnsi="Arial" w:cs="Arial"/>
        </w:rPr>
        <w:footnoteReference w:id="1"/>
      </w:r>
      <w:r w:rsidRPr="007B061C">
        <w:rPr>
          <w:rFonts w:ascii="Arial" w:hAnsi="Arial" w:cs="Arial"/>
        </w:rPr>
        <w:t xml:space="preserve"> ha explicado frente a la suspensión provisional de los efectos de los actos administrativos lo siguiente: </w:t>
      </w:r>
    </w:p>
    <w:p w14:paraId="1F1DEA12" w14:textId="77777777" w:rsidR="00341E45" w:rsidRPr="007B061C" w:rsidRDefault="00341E45" w:rsidP="00162083">
      <w:pPr>
        <w:spacing w:after="0" w:line="240" w:lineRule="auto"/>
        <w:jc w:val="both"/>
        <w:rPr>
          <w:rFonts w:ascii="Arial" w:hAnsi="Arial" w:cs="Arial"/>
        </w:rPr>
      </w:pPr>
    </w:p>
    <w:p w14:paraId="59A97799" w14:textId="77777777" w:rsidR="00341E45" w:rsidRPr="004E02DE" w:rsidRDefault="00341E45" w:rsidP="00162083">
      <w:pPr>
        <w:spacing w:after="0" w:line="240" w:lineRule="auto"/>
        <w:ind w:left="284" w:right="283"/>
        <w:jc w:val="both"/>
        <w:rPr>
          <w:rFonts w:ascii="Arial" w:hAnsi="Arial" w:cs="Arial"/>
          <w:i/>
          <w:iCs/>
          <w:sz w:val="20"/>
          <w:szCs w:val="20"/>
        </w:rPr>
      </w:pPr>
      <w:r w:rsidRPr="004E02DE">
        <w:rPr>
          <w:rFonts w:ascii="Arial" w:hAnsi="Arial" w:cs="Arial"/>
          <w:i/>
          <w:iCs/>
          <w:sz w:val="20"/>
          <w:szCs w:val="20"/>
        </w:rPr>
        <w:t xml:space="preserve">“(…) Entre sus características principales se destaca su naturaleza cautelar, temporal y accesoria, tendiente a evitar que actos contrarios al ordenamiento jurídico puedan continuar surtiendo efectos, mientras se decide de fondo su constitucionalidad o legalidad, en el proceso ordinario en el que se hubiere decretado tal medida. Es por ello </w:t>
      </w:r>
      <w:proofErr w:type="gramStart"/>
      <w:r w:rsidRPr="004E02DE">
        <w:rPr>
          <w:rFonts w:ascii="Arial" w:hAnsi="Arial" w:cs="Arial"/>
          <w:i/>
          <w:iCs/>
          <w:sz w:val="20"/>
          <w:szCs w:val="20"/>
        </w:rPr>
        <w:t>que</w:t>
      </w:r>
      <w:proofErr w:type="gramEnd"/>
      <w:r w:rsidRPr="004E02DE">
        <w:rPr>
          <w:rFonts w:ascii="Arial" w:hAnsi="Arial" w:cs="Arial"/>
          <w:i/>
          <w:iCs/>
          <w:sz w:val="20"/>
          <w:szCs w:val="20"/>
        </w:rPr>
        <w:t xml:space="preserve"> su finalidad está dirigida a </w:t>
      </w:r>
      <w:r w:rsidRPr="00CA34FD">
        <w:rPr>
          <w:rFonts w:ascii="Arial" w:hAnsi="Arial" w:cs="Arial"/>
          <w:b/>
          <w:bCs/>
          <w:i/>
          <w:iCs/>
          <w:sz w:val="20"/>
          <w:szCs w:val="20"/>
        </w:rPr>
        <w:t>“evitar, transitoriamente, que el acto administrativo surta efectos jurídicos, en virtud de un juzgamiento provisorio del mismo, salvaguardando los intereses generales y el Estado de derecho</w:t>
      </w:r>
      <w:r w:rsidRPr="004E02DE">
        <w:rPr>
          <w:rFonts w:ascii="Arial" w:hAnsi="Arial" w:cs="Arial"/>
          <w:i/>
          <w:iCs/>
          <w:sz w:val="20"/>
          <w:szCs w:val="20"/>
        </w:rPr>
        <w:t>.</w:t>
      </w:r>
    </w:p>
    <w:p w14:paraId="555E1839" w14:textId="77777777" w:rsidR="007C0C74" w:rsidRPr="004E02DE" w:rsidRDefault="00341E45" w:rsidP="00162083">
      <w:pPr>
        <w:spacing w:after="0" w:line="240" w:lineRule="auto"/>
        <w:ind w:left="284" w:right="283"/>
        <w:jc w:val="both"/>
        <w:rPr>
          <w:rFonts w:ascii="Arial" w:hAnsi="Arial" w:cs="Arial"/>
          <w:i/>
          <w:iCs/>
          <w:sz w:val="20"/>
          <w:szCs w:val="20"/>
        </w:rPr>
      </w:pPr>
      <w:r w:rsidRPr="004E02DE">
        <w:rPr>
          <w:rFonts w:ascii="Arial" w:hAnsi="Arial" w:cs="Arial"/>
          <w:i/>
          <w:iCs/>
          <w:sz w:val="20"/>
          <w:szCs w:val="20"/>
        </w:rPr>
        <w:t>(…)</w:t>
      </w:r>
    </w:p>
    <w:p w14:paraId="15D43546" w14:textId="77777777" w:rsidR="00341E45" w:rsidRPr="004E02DE" w:rsidRDefault="00341E45" w:rsidP="00162083">
      <w:pPr>
        <w:spacing w:after="0" w:line="240" w:lineRule="auto"/>
        <w:ind w:left="284" w:right="283"/>
        <w:jc w:val="both"/>
        <w:rPr>
          <w:rFonts w:ascii="Arial" w:hAnsi="Arial" w:cs="Arial"/>
          <w:i/>
          <w:iCs/>
          <w:sz w:val="20"/>
          <w:szCs w:val="20"/>
        </w:rPr>
      </w:pPr>
      <w:r w:rsidRPr="004E02DE">
        <w:rPr>
          <w:rFonts w:ascii="Arial" w:hAnsi="Arial" w:cs="Arial"/>
          <w:i/>
          <w:iCs/>
          <w:sz w:val="20"/>
          <w:szCs w:val="20"/>
        </w:rPr>
        <w:t xml:space="preserve">La innovación más relevante de la Ley 1437 de 2011 consiste en, referirse expresamente a la </w:t>
      </w:r>
      <w:r w:rsidRPr="004E02DE">
        <w:rPr>
          <w:rFonts w:ascii="Arial" w:hAnsi="Arial" w:cs="Arial"/>
          <w:b/>
          <w:bCs/>
          <w:i/>
          <w:iCs/>
          <w:sz w:val="20"/>
          <w:szCs w:val="20"/>
        </w:rPr>
        <w:t>confrontación de legalidad</w:t>
      </w:r>
      <w:r w:rsidRPr="004E02DE">
        <w:rPr>
          <w:rFonts w:ascii="Arial" w:hAnsi="Arial" w:cs="Arial"/>
          <w:i/>
          <w:iCs/>
          <w:sz w:val="20"/>
          <w:szCs w:val="20"/>
        </w:rPr>
        <w:t xml:space="preserve"> que debe efectuar el Juez de la medida; es decir, ese </w:t>
      </w:r>
      <w:r w:rsidRPr="004E02DE">
        <w:rPr>
          <w:rFonts w:ascii="Arial" w:hAnsi="Arial" w:cs="Arial"/>
          <w:b/>
          <w:bCs/>
          <w:i/>
          <w:iCs/>
          <w:sz w:val="20"/>
          <w:szCs w:val="20"/>
        </w:rPr>
        <w:t>análisis inicial de legalidad</w:t>
      </w:r>
      <w:r w:rsidRPr="004E02DE">
        <w:rPr>
          <w:rFonts w:ascii="Arial" w:hAnsi="Arial" w:cs="Arial"/>
          <w:i/>
          <w:iCs/>
          <w:sz w:val="20"/>
          <w:szCs w:val="20"/>
        </w:rPr>
        <w:t xml:space="preserve"> del acto acusado, de cara a las normas que se estiman infringidas.</w:t>
      </w:r>
    </w:p>
    <w:p w14:paraId="090C8DDB" w14:textId="77777777" w:rsidR="00341E45" w:rsidRPr="004E02DE" w:rsidRDefault="00341E45" w:rsidP="00162083">
      <w:pPr>
        <w:spacing w:after="0" w:line="240" w:lineRule="auto"/>
        <w:ind w:left="284" w:right="283"/>
        <w:jc w:val="both"/>
        <w:rPr>
          <w:rFonts w:ascii="Arial" w:hAnsi="Arial" w:cs="Arial"/>
          <w:i/>
          <w:iCs/>
          <w:sz w:val="20"/>
          <w:szCs w:val="20"/>
        </w:rPr>
      </w:pPr>
      <w:r w:rsidRPr="004E02DE">
        <w:rPr>
          <w:rFonts w:ascii="Arial" w:hAnsi="Arial" w:cs="Arial"/>
          <w:i/>
          <w:iCs/>
          <w:sz w:val="20"/>
          <w:szCs w:val="20"/>
        </w:rPr>
        <w:t>(…)</w:t>
      </w:r>
    </w:p>
    <w:p w14:paraId="41AAD2B7" w14:textId="77777777" w:rsidR="007C0C74" w:rsidRPr="00CA34FD" w:rsidRDefault="00341E45" w:rsidP="00162083">
      <w:pPr>
        <w:spacing w:after="0" w:line="240" w:lineRule="auto"/>
        <w:ind w:left="284" w:right="283"/>
        <w:jc w:val="both"/>
        <w:rPr>
          <w:rFonts w:ascii="Arial" w:hAnsi="Arial" w:cs="Arial"/>
          <w:sz w:val="20"/>
          <w:szCs w:val="20"/>
        </w:rPr>
      </w:pPr>
      <w:r w:rsidRPr="00CA34FD">
        <w:rPr>
          <w:rFonts w:ascii="Arial" w:hAnsi="Arial" w:cs="Arial"/>
          <w:b/>
          <w:bCs/>
          <w:i/>
          <w:iCs/>
          <w:sz w:val="20"/>
          <w:szCs w:val="20"/>
        </w:rPr>
        <w:t>La decisión sobre la medida cautelar, de ningún modo implica prejuzgamiento</w:t>
      </w:r>
      <w:r w:rsidRPr="004E02DE">
        <w:rPr>
          <w:rFonts w:ascii="Arial" w:hAnsi="Arial" w:cs="Arial"/>
          <w:i/>
          <w:iCs/>
          <w:sz w:val="20"/>
          <w:szCs w:val="20"/>
        </w:rPr>
        <w:t xml:space="preserve">, teniendo en cuenta que, como lo ha precisado la Jurisprudencia de esta Sala, se trata de “mecanismos meramente cautelares, </w:t>
      </w:r>
      <w:r w:rsidRPr="00CA34FD">
        <w:rPr>
          <w:rFonts w:ascii="Arial" w:hAnsi="Arial" w:cs="Arial"/>
          <w:b/>
          <w:bCs/>
          <w:i/>
          <w:iCs/>
          <w:sz w:val="20"/>
          <w:szCs w:val="20"/>
        </w:rPr>
        <w:t>que en nada afectan ni influyen en la decisión final del fondo del asunto</w:t>
      </w:r>
      <w:r w:rsidRPr="004E02DE">
        <w:rPr>
          <w:rFonts w:ascii="Arial" w:hAnsi="Arial" w:cs="Arial"/>
          <w:i/>
          <w:iCs/>
          <w:sz w:val="20"/>
          <w:szCs w:val="20"/>
        </w:rPr>
        <w:t>”.</w:t>
      </w:r>
      <w:r w:rsidR="00CA34FD">
        <w:rPr>
          <w:rFonts w:ascii="Arial" w:hAnsi="Arial" w:cs="Arial"/>
          <w:i/>
          <w:iCs/>
          <w:sz w:val="20"/>
          <w:szCs w:val="20"/>
        </w:rPr>
        <w:t xml:space="preserve"> (Resaltado fuera de texto)</w:t>
      </w:r>
    </w:p>
    <w:p w14:paraId="51628D3F" w14:textId="77777777" w:rsidR="009118C4" w:rsidRPr="009118C4" w:rsidRDefault="009118C4" w:rsidP="00162083">
      <w:pPr>
        <w:spacing w:after="0" w:line="240" w:lineRule="auto"/>
        <w:ind w:right="283"/>
        <w:jc w:val="both"/>
        <w:rPr>
          <w:rFonts w:ascii="Arial" w:hAnsi="Arial" w:cs="Arial"/>
        </w:rPr>
      </w:pPr>
    </w:p>
    <w:p w14:paraId="4CD190C3" w14:textId="77777777" w:rsidR="009118C4" w:rsidRPr="009118C4" w:rsidRDefault="000F7006" w:rsidP="00CC74F3">
      <w:pPr>
        <w:spacing w:after="0" w:line="240" w:lineRule="auto"/>
        <w:jc w:val="both"/>
        <w:rPr>
          <w:rFonts w:ascii="Arial" w:hAnsi="Arial" w:cs="Arial"/>
        </w:rPr>
      </w:pPr>
      <w:r w:rsidRPr="009118C4">
        <w:rPr>
          <w:rFonts w:ascii="Arial" w:hAnsi="Arial" w:cs="Arial"/>
        </w:rPr>
        <w:t xml:space="preserve">Así los hechos, la figura de la suspensión provisional </w:t>
      </w:r>
      <w:r w:rsidR="001C20B6" w:rsidRPr="009118C4">
        <w:rPr>
          <w:rFonts w:ascii="Arial" w:hAnsi="Arial" w:cs="Arial"/>
        </w:rPr>
        <w:t xml:space="preserve">de un acto administrativo </w:t>
      </w:r>
      <w:r w:rsidRPr="009118C4">
        <w:rPr>
          <w:rFonts w:ascii="Arial" w:hAnsi="Arial" w:cs="Arial"/>
        </w:rPr>
        <w:t xml:space="preserve">dentro de un proceso de nulidad ante la justicia de lo contencioso administrativo es una medida de origen constitucional que busca detener los efectos del acto administrativo de manera preventiva, mientras el juez decide de fondo, su objeto es evitar que se causen perjuicios, cuando se advierte que la administración emitió el acto en contravía con normas superiores. </w:t>
      </w:r>
      <w:r w:rsidR="009118C4" w:rsidRPr="009118C4">
        <w:rPr>
          <w:rFonts w:ascii="Arial" w:hAnsi="Arial" w:cs="Arial"/>
        </w:rPr>
        <w:t xml:space="preserve"> En esa instancia no se está resolviendo sobre la existencia ni la validez del acto administrativo.</w:t>
      </w:r>
    </w:p>
    <w:p w14:paraId="1EAB71BE" w14:textId="77777777" w:rsidR="009118C4" w:rsidRPr="009118C4" w:rsidRDefault="009118C4" w:rsidP="00CC74F3">
      <w:pPr>
        <w:spacing w:after="0" w:line="240" w:lineRule="auto"/>
        <w:jc w:val="both"/>
        <w:rPr>
          <w:rFonts w:ascii="Arial" w:hAnsi="Arial" w:cs="Arial"/>
        </w:rPr>
      </w:pPr>
    </w:p>
    <w:p w14:paraId="323744E4" w14:textId="77777777" w:rsidR="000F7006" w:rsidRPr="009118C4" w:rsidRDefault="000F7006" w:rsidP="00CC74F3">
      <w:pPr>
        <w:spacing w:after="0" w:line="240" w:lineRule="auto"/>
        <w:jc w:val="both"/>
        <w:rPr>
          <w:rFonts w:ascii="Arial" w:hAnsi="Arial" w:cs="Arial"/>
        </w:rPr>
      </w:pPr>
      <w:r w:rsidRPr="009118C4">
        <w:rPr>
          <w:rFonts w:ascii="Arial" w:hAnsi="Arial" w:cs="Arial"/>
        </w:rPr>
        <w:t xml:space="preserve">Por contera </w:t>
      </w:r>
      <w:r w:rsidR="001C20B6" w:rsidRPr="009118C4">
        <w:rPr>
          <w:rFonts w:ascii="Arial" w:hAnsi="Arial" w:cs="Arial"/>
        </w:rPr>
        <w:t>en tanto est</w:t>
      </w:r>
      <w:r w:rsidR="0026106F">
        <w:rPr>
          <w:rFonts w:ascii="Arial" w:hAnsi="Arial" w:cs="Arial"/>
        </w:rPr>
        <w:t>á</w:t>
      </w:r>
      <w:r w:rsidR="001C20B6" w:rsidRPr="009118C4">
        <w:rPr>
          <w:rFonts w:ascii="Arial" w:hAnsi="Arial" w:cs="Arial"/>
        </w:rPr>
        <w:t xml:space="preserve"> suspendido </w:t>
      </w:r>
      <w:r w:rsidRPr="009118C4">
        <w:rPr>
          <w:rFonts w:ascii="Arial" w:hAnsi="Arial" w:cs="Arial"/>
        </w:rPr>
        <w:t>el acto administrativo no es aplicable</w:t>
      </w:r>
      <w:r w:rsidR="001C20B6" w:rsidRPr="009118C4">
        <w:rPr>
          <w:rFonts w:ascii="Arial" w:hAnsi="Arial" w:cs="Arial"/>
        </w:rPr>
        <w:t xml:space="preserve"> y</w:t>
      </w:r>
      <w:r w:rsidRPr="009118C4">
        <w:rPr>
          <w:rFonts w:ascii="Arial" w:hAnsi="Arial" w:cs="Arial"/>
        </w:rPr>
        <w:t xml:space="preserve"> no genera efectos ni tiene fuerza vinculante hasta tanto el juez de lo contencioso </w:t>
      </w:r>
      <w:r w:rsidR="001C20B6" w:rsidRPr="009118C4">
        <w:rPr>
          <w:rFonts w:ascii="Arial" w:hAnsi="Arial" w:cs="Arial"/>
        </w:rPr>
        <w:t xml:space="preserve">levante la medida cautelar de suspensión provisional o </w:t>
      </w:r>
      <w:r w:rsidRPr="009118C4">
        <w:rPr>
          <w:rFonts w:ascii="Arial" w:hAnsi="Arial" w:cs="Arial"/>
        </w:rPr>
        <w:t>emita decisión judicial debidamente ejecutoriada.</w:t>
      </w:r>
    </w:p>
    <w:p w14:paraId="0D5AA185" w14:textId="77777777" w:rsidR="008053AD" w:rsidRPr="00F34372" w:rsidRDefault="008053AD" w:rsidP="00CC74F3">
      <w:pPr>
        <w:spacing w:after="0" w:line="240" w:lineRule="auto"/>
        <w:jc w:val="both"/>
        <w:rPr>
          <w:rFonts w:ascii="Arial" w:hAnsi="Arial" w:cs="Arial"/>
        </w:rPr>
      </w:pPr>
    </w:p>
    <w:p w14:paraId="68F311C1" w14:textId="77777777" w:rsidR="005B2BD4" w:rsidRPr="00F34372" w:rsidRDefault="005B2BD4" w:rsidP="00CC74F3">
      <w:pPr>
        <w:spacing w:after="0" w:line="240" w:lineRule="auto"/>
        <w:jc w:val="both"/>
        <w:rPr>
          <w:rFonts w:ascii="Arial" w:hAnsi="Arial" w:cs="Arial"/>
          <w:b/>
          <w:bCs/>
        </w:rPr>
      </w:pPr>
      <w:r w:rsidRPr="00F34372">
        <w:rPr>
          <w:rFonts w:ascii="Arial" w:hAnsi="Arial" w:cs="Arial"/>
          <w:b/>
          <w:bCs/>
        </w:rPr>
        <w:t xml:space="preserve">2) Situación actual del proceso </w:t>
      </w:r>
      <w:r w:rsidR="001C20B6" w:rsidRPr="00F34372">
        <w:rPr>
          <w:rFonts w:ascii="Arial" w:hAnsi="Arial" w:cs="Arial"/>
          <w:b/>
          <w:bCs/>
        </w:rPr>
        <w:t>de nulidad</w:t>
      </w:r>
      <w:r w:rsidR="009118C4" w:rsidRPr="00F34372">
        <w:rPr>
          <w:rFonts w:ascii="Arial" w:hAnsi="Arial" w:cs="Arial"/>
          <w:b/>
          <w:bCs/>
        </w:rPr>
        <w:t xml:space="preserve"> simple</w:t>
      </w:r>
      <w:r w:rsidR="001C20B6" w:rsidRPr="00F34372">
        <w:rPr>
          <w:rFonts w:ascii="Arial" w:hAnsi="Arial" w:cs="Arial"/>
          <w:b/>
          <w:bCs/>
        </w:rPr>
        <w:t xml:space="preserve"> del Decreto Distrital 555 de 2021</w:t>
      </w:r>
    </w:p>
    <w:p w14:paraId="4FFCF9EC" w14:textId="77777777" w:rsidR="005B2BD4" w:rsidRPr="00F34372" w:rsidRDefault="005B2BD4" w:rsidP="00CC74F3">
      <w:pPr>
        <w:spacing w:after="0" w:line="240" w:lineRule="auto"/>
        <w:jc w:val="both"/>
        <w:rPr>
          <w:rFonts w:ascii="Arial" w:hAnsi="Arial" w:cs="Arial"/>
        </w:rPr>
      </w:pPr>
    </w:p>
    <w:p w14:paraId="370CA049" w14:textId="77777777" w:rsidR="009118C4" w:rsidRPr="00F34372" w:rsidRDefault="001C20B6" w:rsidP="00E1158C">
      <w:pPr>
        <w:spacing w:after="0" w:line="240" w:lineRule="auto"/>
        <w:jc w:val="both"/>
        <w:rPr>
          <w:rFonts w:ascii="Arial" w:hAnsi="Arial" w:cs="Arial"/>
        </w:rPr>
      </w:pPr>
      <w:r w:rsidRPr="00F34372">
        <w:rPr>
          <w:rFonts w:ascii="Arial" w:hAnsi="Arial" w:cs="Arial"/>
        </w:rPr>
        <w:t>Respecto del proceso de nulidad simple contra el Decreto Distrital 555 de 2021, mediante el Auto Interlocutorio 66 del 14 de junio de 2022 el Juzgado Quinto Administrativo de la Sección Primera de Bogotá suspendió provisionalmente los efectos del Decreto Distrital 555 de 2021</w:t>
      </w:r>
      <w:r w:rsidR="009F7640" w:rsidRPr="00F34372">
        <w:rPr>
          <w:rFonts w:ascii="Arial" w:hAnsi="Arial" w:cs="Arial"/>
        </w:rPr>
        <w:t xml:space="preserve">. </w:t>
      </w:r>
    </w:p>
    <w:p w14:paraId="7A6DEA48" w14:textId="77777777" w:rsidR="009118C4" w:rsidRPr="00F34372" w:rsidRDefault="009118C4" w:rsidP="00E1158C">
      <w:pPr>
        <w:spacing w:after="0" w:line="240" w:lineRule="auto"/>
        <w:jc w:val="both"/>
        <w:rPr>
          <w:rFonts w:ascii="Arial" w:hAnsi="Arial" w:cs="Arial"/>
        </w:rPr>
      </w:pPr>
    </w:p>
    <w:p w14:paraId="65C1BD39" w14:textId="77777777" w:rsidR="005B2BD4" w:rsidRPr="00E1158C" w:rsidRDefault="00E1158C" w:rsidP="00E1158C">
      <w:pPr>
        <w:spacing w:after="0" w:line="240" w:lineRule="auto"/>
        <w:jc w:val="both"/>
        <w:rPr>
          <w:rFonts w:ascii="Arial" w:hAnsi="Arial" w:cs="Arial"/>
        </w:rPr>
      </w:pPr>
      <w:r w:rsidRPr="0026106F">
        <w:rPr>
          <w:rFonts w:ascii="Arial" w:hAnsi="Arial" w:cs="Arial"/>
        </w:rPr>
        <w:t>El 22 de agosto de 2022 el Tribunal Administrativo de Cundinamarca, Sección Primera - Subsección “A</w:t>
      </w:r>
      <w:proofErr w:type="gramStart"/>
      <w:r w:rsidRPr="0026106F">
        <w:rPr>
          <w:rFonts w:ascii="Arial" w:hAnsi="Arial" w:cs="Arial"/>
        </w:rPr>
        <w:t>” ,</w:t>
      </w:r>
      <w:proofErr w:type="gramEnd"/>
      <w:r w:rsidRPr="0026106F">
        <w:rPr>
          <w:rFonts w:ascii="Arial" w:hAnsi="Arial" w:cs="Arial"/>
        </w:rPr>
        <w:t xml:space="preserve"> dentro del Proceso No.: 11001333400520220006601 </w:t>
      </w:r>
      <w:r w:rsidR="007A1FD1" w:rsidRPr="0026106F">
        <w:rPr>
          <w:rFonts w:ascii="Arial" w:hAnsi="Arial" w:cs="Arial"/>
        </w:rPr>
        <w:t xml:space="preserve">procedió a revocar el auto de </w:t>
      </w:r>
      <w:r w:rsidR="00A65D8A" w:rsidRPr="0026106F">
        <w:rPr>
          <w:rFonts w:ascii="Arial" w:hAnsi="Arial" w:cs="Arial"/>
        </w:rPr>
        <w:t>suspensión</w:t>
      </w:r>
      <w:r w:rsidR="007A1FD1" w:rsidRPr="0026106F">
        <w:rPr>
          <w:rFonts w:ascii="Arial" w:hAnsi="Arial" w:cs="Arial"/>
        </w:rPr>
        <w:t xml:space="preserve"> provisiona</w:t>
      </w:r>
      <w:r w:rsidR="00A65D8A" w:rsidRPr="0026106F">
        <w:rPr>
          <w:rFonts w:ascii="Arial" w:hAnsi="Arial" w:cs="Arial"/>
        </w:rPr>
        <w:t>l</w:t>
      </w:r>
      <w:r w:rsidR="007A1FD1" w:rsidRPr="0026106F">
        <w:rPr>
          <w:rFonts w:ascii="Arial" w:hAnsi="Arial" w:cs="Arial"/>
        </w:rPr>
        <w:t xml:space="preserve"> en los siguientes </w:t>
      </w:r>
      <w:r w:rsidR="00A65D8A" w:rsidRPr="0026106F">
        <w:rPr>
          <w:rFonts w:ascii="Arial" w:hAnsi="Arial" w:cs="Arial"/>
        </w:rPr>
        <w:t>términos</w:t>
      </w:r>
      <w:r w:rsidR="007A1FD1" w:rsidRPr="0026106F">
        <w:rPr>
          <w:rFonts w:ascii="Arial" w:hAnsi="Arial" w:cs="Arial"/>
        </w:rPr>
        <w:t>:</w:t>
      </w:r>
      <w:r>
        <w:rPr>
          <w:rFonts w:ascii="Arial" w:hAnsi="Arial" w:cs="Arial"/>
        </w:rPr>
        <w:t xml:space="preserve"> </w:t>
      </w:r>
    </w:p>
    <w:p w14:paraId="5485114B" w14:textId="77777777" w:rsidR="005B2BD4" w:rsidRDefault="005B2BD4" w:rsidP="00CC74F3">
      <w:pPr>
        <w:spacing w:after="0" w:line="240" w:lineRule="auto"/>
        <w:jc w:val="both"/>
        <w:rPr>
          <w:rFonts w:ascii="Arial" w:hAnsi="Arial" w:cs="Arial"/>
        </w:rPr>
      </w:pPr>
    </w:p>
    <w:p w14:paraId="0FF53F11" w14:textId="77777777" w:rsidR="007A1FD1" w:rsidRPr="009F7640" w:rsidRDefault="007A1FD1" w:rsidP="00162083">
      <w:pPr>
        <w:tabs>
          <w:tab w:val="left" w:pos="284"/>
        </w:tabs>
        <w:spacing w:after="0" w:line="240" w:lineRule="auto"/>
        <w:ind w:left="284" w:right="283"/>
        <w:jc w:val="both"/>
        <w:rPr>
          <w:rFonts w:ascii="Arial" w:hAnsi="Arial" w:cs="Arial"/>
          <w:i/>
          <w:iCs/>
          <w:sz w:val="20"/>
          <w:szCs w:val="20"/>
        </w:rPr>
      </w:pPr>
      <w:r w:rsidRPr="009F7640">
        <w:rPr>
          <w:rFonts w:ascii="Arial" w:hAnsi="Arial" w:cs="Arial"/>
          <w:i/>
          <w:iCs/>
          <w:sz w:val="20"/>
          <w:szCs w:val="20"/>
        </w:rPr>
        <w:t xml:space="preserve">“La Sala revocará el auto impugnado, en consideración a que no se advirtió por parte de la primera instancia, la certificación del 7 de abril del 2022, en virtud de la cual el Señor Secretario General del Concejo Distrital de Bogotá certifica, en documento público, en forma clara, manifiesta y sin lugar a duda alguna, que el trámite de los impedimentos y recusaciones no dio lugar a la suspensión del debate del proyecto de Acuerdo de revisión del POT, documento que </w:t>
      </w:r>
      <w:r w:rsidRPr="009F7640">
        <w:rPr>
          <w:rFonts w:ascii="Arial" w:hAnsi="Arial" w:cs="Arial"/>
          <w:i/>
          <w:iCs/>
          <w:sz w:val="20"/>
          <w:szCs w:val="20"/>
        </w:rPr>
        <w:lastRenderedPageBreak/>
        <w:t>no ha sido tachado por ninguno de los sujetos procesales, y que por su importancia y claridad, se reproduce nuevamente:</w:t>
      </w:r>
    </w:p>
    <w:p w14:paraId="4E813A54" w14:textId="77777777" w:rsidR="007A1FD1" w:rsidRPr="00A65D8A" w:rsidRDefault="007A1FD1" w:rsidP="00162083">
      <w:pPr>
        <w:tabs>
          <w:tab w:val="left" w:pos="284"/>
        </w:tabs>
        <w:spacing w:after="0" w:line="240" w:lineRule="auto"/>
        <w:ind w:left="284" w:right="283"/>
        <w:jc w:val="both"/>
        <w:rPr>
          <w:rFonts w:ascii="Arial" w:hAnsi="Arial" w:cs="Arial"/>
          <w:i/>
          <w:iCs/>
        </w:rPr>
      </w:pPr>
    </w:p>
    <w:p w14:paraId="4EA78979" w14:textId="77777777" w:rsidR="007A1FD1" w:rsidRPr="009F7640" w:rsidRDefault="007A1FD1" w:rsidP="00162083">
      <w:pPr>
        <w:tabs>
          <w:tab w:val="left" w:pos="284"/>
        </w:tabs>
        <w:spacing w:after="0" w:line="240" w:lineRule="auto"/>
        <w:ind w:left="284" w:right="283"/>
        <w:jc w:val="both"/>
        <w:rPr>
          <w:rFonts w:ascii="Arial" w:hAnsi="Arial" w:cs="Arial"/>
          <w:i/>
          <w:iCs/>
          <w:sz w:val="20"/>
          <w:szCs w:val="20"/>
        </w:rPr>
      </w:pPr>
      <w:r w:rsidRPr="009F7640">
        <w:rPr>
          <w:rFonts w:ascii="Arial" w:hAnsi="Arial" w:cs="Arial"/>
          <w:i/>
          <w:iCs/>
          <w:sz w:val="20"/>
          <w:szCs w:val="20"/>
        </w:rPr>
        <w:t>Que, de acuerdo con lo anterior, en el marco del trámite de los anteriores impedimentos y recusaciones, no se presentó suspensión de términos respecto del debate y discusión del proyecto de Acuerdo Distrital 413 de 2021</w:t>
      </w:r>
      <w:r w:rsidR="00A65D8A" w:rsidRPr="009F7640">
        <w:rPr>
          <w:rFonts w:ascii="Arial" w:hAnsi="Arial" w:cs="Arial"/>
          <w:i/>
          <w:iCs/>
          <w:sz w:val="20"/>
          <w:szCs w:val="20"/>
        </w:rPr>
        <w:t>”</w:t>
      </w:r>
      <w:r w:rsidRPr="009F7640">
        <w:rPr>
          <w:rFonts w:ascii="Arial" w:hAnsi="Arial" w:cs="Arial"/>
          <w:i/>
          <w:iCs/>
          <w:sz w:val="20"/>
          <w:szCs w:val="20"/>
        </w:rPr>
        <w:t>.</w:t>
      </w:r>
    </w:p>
    <w:p w14:paraId="0C51C273" w14:textId="77777777" w:rsidR="007A1FD1" w:rsidRPr="00A65D8A" w:rsidRDefault="007A1FD1" w:rsidP="00162083">
      <w:pPr>
        <w:tabs>
          <w:tab w:val="left" w:pos="284"/>
        </w:tabs>
        <w:spacing w:after="0" w:line="240" w:lineRule="auto"/>
        <w:ind w:left="284" w:right="283"/>
        <w:jc w:val="both"/>
        <w:rPr>
          <w:rFonts w:ascii="Arial" w:hAnsi="Arial" w:cs="Arial"/>
          <w:i/>
          <w:iCs/>
        </w:rPr>
      </w:pPr>
    </w:p>
    <w:p w14:paraId="379D60F0" w14:textId="77777777" w:rsidR="007A1FD1" w:rsidRPr="009118C4" w:rsidRDefault="007A1FD1" w:rsidP="00162083">
      <w:pPr>
        <w:tabs>
          <w:tab w:val="left" w:pos="284"/>
        </w:tabs>
        <w:spacing w:after="0" w:line="240" w:lineRule="auto"/>
        <w:ind w:left="284" w:right="283"/>
        <w:jc w:val="both"/>
        <w:rPr>
          <w:rFonts w:ascii="Arial" w:hAnsi="Arial" w:cs="Arial"/>
          <w:i/>
          <w:iCs/>
          <w:sz w:val="20"/>
          <w:szCs w:val="20"/>
        </w:rPr>
      </w:pPr>
      <w:r w:rsidRPr="009F7640">
        <w:rPr>
          <w:rFonts w:ascii="Arial" w:hAnsi="Arial" w:cs="Arial"/>
          <w:i/>
          <w:iCs/>
          <w:sz w:val="20"/>
          <w:szCs w:val="20"/>
        </w:rPr>
        <w:t xml:space="preserve">Dicha certificación, de haberse valorado adecuadamente por el Juzgado, hubiese dado lugar a negar la medida cautelar, razón por la cual prospera el recurso de apelación, </w:t>
      </w:r>
      <w:r w:rsidRPr="009118C4">
        <w:rPr>
          <w:rFonts w:ascii="Arial" w:hAnsi="Arial" w:cs="Arial"/>
          <w:i/>
          <w:iCs/>
          <w:sz w:val="20"/>
          <w:szCs w:val="20"/>
        </w:rPr>
        <w:t>y se procede a revocar la decisión.</w:t>
      </w:r>
    </w:p>
    <w:p w14:paraId="2B9CA2A4" w14:textId="77777777" w:rsidR="007A1FD1" w:rsidRPr="009F7640" w:rsidRDefault="007A1FD1" w:rsidP="00162083">
      <w:pPr>
        <w:tabs>
          <w:tab w:val="left" w:pos="284"/>
        </w:tabs>
        <w:spacing w:after="0" w:line="240" w:lineRule="auto"/>
        <w:ind w:left="284" w:right="283"/>
        <w:jc w:val="both"/>
        <w:rPr>
          <w:rFonts w:ascii="Arial" w:hAnsi="Arial" w:cs="Arial"/>
          <w:i/>
          <w:iCs/>
          <w:sz w:val="20"/>
          <w:szCs w:val="20"/>
        </w:rPr>
      </w:pPr>
    </w:p>
    <w:p w14:paraId="3318440C" w14:textId="77777777" w:rsidR="007A1FD1" w:rsidRPr="009F7640" w:rsidRDefault="007A1FD1" w:rsidP="00162083">
      <w:pPr>
        <w:tabs>
          <w:tab w:val="left" w:pos="284"/>
        </w:tabs>
        <w:spacing w:after="0" w:line="240" w:lineRule="auto"/>
        <w:ind w:left="284" w:right="283"/>
        <w:jc w:val="both"/>
        <w:rPr>
          <w:rFonts w:ascii="Arial" w:hAnsi="Arial" w:cs="Arial"/>
          <w:i/>
          <w:iCs/>
          <w:sz w:val="20"/>
          <w:szCs w:val="20"/>
        </w:rPr>
      </w:pPr>
      <w:r w:rsidRPr="009F7640">
        <w:rPr>
          <w:rFonts w:ascii="Arial" w:hAnsi="Arial" w:cs="Arial"/>
          <w:i/>
          <w:iCs/>
          <w:sz w:val="20"/>
          <w:szCs w:val="20"/>
        </w:rPr>
        <w:t xml:space="preserve">Por lo demás, tal como se indica en el artículo 229 de la Ley 1437 de 2011, la presente decisión no constituye prejuzgamiento.  </w:t>
      </w:r>
    </w:p>
    <w:p w14:paraId="44F74B5D" w14:textId="77777777" w:rsidR="00A65D8A" w:rsidRPr="009F7640" w:rsidRDefault="00A65D8A" w:rsidP="00162083">
      <w:pPr>
        <w:tabs>
          <w:tab w:val="left" w:pos="284"/>
        </w:tabs>
        <w:spacing w:after="0" w:line="240" w:lineRule="auto"/>
        <w:ind w:left="284" w:right="283"/>
        <w:jc w:val="both"/>
        <w:rPr>
          <w:rFonts w:ascii="Arial" w:hAnsi="Arial" w:cs="Arial"/>
          <w:i/>
          <w:iCs/>
          <w:sz w:val="20"/>
          <w:szCs w:val="20"/>
        </w:rPr>
      </w:pPr>
    </w:p>
    <w:p w14:paraId="5E1301CE" w14:textId="77777777" w:rsidR="007A1FD1" w:rsidRPr="009F7640" w:rsidRDefault="007A1FD1" w:rsidP="00162083">
      <w:pPr>
        <w:tabs>
          <w:tab w:val="left" w:pos="284"/>
        </w:tabs>
        <w:spacing w:after="0" w:line="240" w:lineRule="auto"/>
        <w:ind w:left="284" w:right="283"/>
        <w:jc w:val="both"/>
        <w:rPr>
          <w:rFonts w:ascii="Arial" w:hAnsi="Arial" w:cs="Arial"/>
          <w:i/>
          <w:iCs/>
          <w:sz w:val="20"/>
          <w:szCs w:val="20"/>
        </w:rPr>
      </w:pPr>
      <w:r w:rsidRPr="009F7640">
        <w:rPr>
          <w:rFonts w:ascii="Arial" w:hAnsi="Arial" w:cs="Arial"/>
          <w:i/>
          <w:iCs/>
          <w:sz w:val="20"/>
          <w:szCs w:val="20"/>
        </w:rPr>
        <w:t>En consecuencia, el Tribunal Administrativo de Cundinamarca, Sección Primera,</w:t>
      </w:r>
      <w:r w:rsidR="00A65D8A" w:rsidRPr="009F7640">
        <w:rPr>
          <w:rFonts w:ascii="Arial" w:hAnsi="Arial" w:cs="Arial"/>
          <w:i/>
          <w:iCs/>
          <w:sz w:val="20"/>
          <w:szCs w:val="20"/>
        </w:rPr>
        <w:t xml:space="preserve"> </w:t>
      </w:r>
      <w:r w:rsidRPr="009F7640">
        <w:rPr>
          <w:rFonts w:ascii="Arial" w:hAnsi="Arial" w:cs="Arial"/>
          <w:i/>
          <w:iCs/>
          <w:sz w:val="20"/>
          <w:szCs w:val="20"/>
        </w:rPr>
        <w:t>Subsección A,</w:t>
      </w:r>
      <w:r w:rsidR="00A65D8A" w:rsidRPr="009F7640">
        <w:rPr>
          <w:rFonts w:ascii="Arial" w:hAnsi="Arial" w:cs="Arial"/>
          <w:i/>
          <w:iCs/>
          <w:sz w:val="20"/>
          <w:szCs w:val="20"/>
        </w:rPr>
        <w:t xml:space="preserve"> </w:t>
      </w:r>
      <w:r w:rsidRPr="009F7640">
        <w:rPr>
          <w:rFonts w:ascii="Arial" w:hAnsi="Arial" w:cs="Arial"/>
          <w:i/>
          <w:iCs/>
          <w:sz w:val="20"/>
          <w:szCs w:val="20"/>
        </w:rPr>
        <w:t>RESUELVE:</w:t>
      </w:r>
    </w:p>
    <w:p w14:paraId="1A391F91" w14:textId="77777777" w:rsidR="007A1FD1" w:rsidRPr="009F7640" w:rsidRDefault="007A1FD1" w:rsidP="00162083">
      <w:pPr>
        <w:tabs>
          <w:tab w:val="left" w:pos="284"/>
        </w:tabs>
        <w:spacing w:after="0" w:line="240" w:lineRule="auto"/>
        <w:ind w:left="284" w:right="283"/>
        <w:jc w:val="both"/>
        <w:rPr>
          <w:rFonts w:ascii="Arial" w:hAnsi="Arial" w:cs="Arial"/>
          <w:i/>
          <w:iCs/>
          <w:sz w:val="20"/>
          <w:szCs w:val="20"/>
        </w:rPr>
      </w:pPr>
    </w:p>
    <w:p w14:paraId="1C7CCE73" w14:textId="77777777" w:rsidR="007A1FD1" w:rsidRPr="009F7640" w:rsidRDefault="007A1FD1" w:rsidP="00162083">
      <w:pPr>
        <w:tabs>
          <w:tab w:val="left" w:pos="284"/>
        </w:tabs>
        <w:spacing w:after="0" w:line="240" w:lineRule="auto"/>
        <w:ind w:left="284" w:right="283"/>
        <w:jc w:val="both"/>
        <w:rPr>
          <w:rFonts w:ascii="Arial" w:hAnsi="Arial" w:cs="Arial"/>
          <w:i/>
          <w:iCs/>
          <w:sz w:val="20"/>
          <w:szCs w:val="20"/>
        </w:rPr>
      </w:pPr>
      <w:proofErr w:type="gramStart"/>
      <w:r w:rsidRPr="009F7640">
        <w:rPr>
          <w:rFonts w:ascii="Arial" w:hAnsi="Arial" w:cs="Arial"/>
          <w:i/>
          <w:iCs/>
          <w:sz w:val="20"/>
          <w:szCs w:val="20"/>
        </w:rPr>
        <w:t>PRIMERO.-</w:t>
      </w:r>
      <w:proofErr w:type="gramEnd"/>
      <w:r w:rsidRPr="009F7640">
        <w:rPr>
          <w:rFonts w:ascii="Arial" w:hAnsi="Arial" w:cs="Arial"/>
          <w:i/>
          <w:iCs/>
          <w:sz w:val="20"/>
          <w:szCs w:val="20"/>
        </w:rPr>
        <w:t xml:space="preserve">  </w:t>
      </w:r>
      <w:r w:rsidRPr="009118C4">
        <w:rPr>
          <w:rFonts w:ascii="Arial" w:hAnsi="Arial" w:cs="Arial"/>
          <w:b/>
          <w:bCs/>
          <w:i/>
          <w:iCs/>
          <w:sz w:val="20"/>
          <w:szCs w:val="20"/>
        </w:rPr>
        <w:t>REVÓCASE el auto de catorce (14) de junio de dos mil veintidós (2022), que ordenó suspender provisionalmente los efectos del Decreto Distrital 555 de 2021 “por el cual se adopta la revisión general del Plan de Ordenamiento Territorial de Bogotá D.C.”, proferido por la señora Alcaldesa Mayor de Bogotá D.C. y la Secretaría Distrital de Planeación, por las razones expuestas</w:t>
      </w:r>
      <w:r w:rsidRPr="009F7640">
        <w:rPr>
          <w:rFonts w:ascii="Arial" w:hAnsi="Arial" w:cs="Arial"/>
          <w:i/>
          <w:iCs/>
          <w:sz w:val="20"/>
          <w:szCs w:val="20"/>
        </w:rPr>
        <w:t xml:space="preserve">.  </w:t>
      </w:r>
    </w:p>
    <w:p w14:paraId="7B08E445" w14:textId="77777777" w:rsidR="007A1FD1" w:rsidRPr="009118C4" w:rsidRDefault="007A1FD1" w:rsidP="00162083">
      <w:pPr>
        <w:tabs>
          <w:tab w:val="left" w:pos="284"/>
        </w:tabs>
        <w:spacing w:after="0" w:line="240" w:lineRule="auto"/>
        <w:ind w:left="284" w:right="283"/>
        <w:jc w:val="both"/>
        <w:rPr>
          <w:rFonts w:ascii="Arial" w:hAnsi="Arial" w:cs="Arial"/>
          <w:i/>
          <w:iCs/>
          <w:sz w:val="20"/>
          <w:szCs w:val="20"/>
        </w:rPr>
      </w:pPr>
    </w:p>
    <w:p w14:paraId="1F2A2ABF" w14:textId="77777777" w:rsidR="007A1FD1" w:rsidRPr="009F7640" w:rsidRDefault="007A1FD1" w:rsidP="00162083">
      <w:pPr>
        <w:tabs>
          <w:tab w:val="left" w:pos="284"/>
        </w:tabs>
        <w:spacing w:after="0" w:line="240" w:lineRule="auto"/>
        <w:ind w:left="284" w:right="283"/>
        <w:jc w:val="both"/>
        <w:rPr>
          <w:rFonts w:ascii="Arial" w:hAnsi="Arial" w:cs="Arial"/>
          <w:sz w:val="20"/>
          <w:szCs w:val="20"/>
        </w:rPr>
      </w:pPr>
      <w:proofErr w:type="gramStart"/>
      <w:r w:rsidRPr="009F7640">
        <w:rPr>
          <w:rFonts w:ascii="Arial" w:hAnsi="Arial" w:cs="Arial"/>
          <w:b/>
          <w:bCs/>
          <w:i/>
          <w:iCs/>
          <w:sz w:val="20"/>
          <w:szCs w:val="20"/>
        </w:rPr>
        <w:t>SEGUNDO.-</w:t>
      </w:r>
      <w:proofErr w:type="gramEnd"/>
      <w:r w:rsidRPr="009F7640">
        <w:rPr>
          <w:rFonts w:ascii="Arial" w:hAnsi="Arial" w:cs="Arial"/>
          <w:b/>
          <w:bCs/>
          <w:i/>
          <w:iCs/>
          <w:sz w:val="20"/>
          <w:szCs w:val="20"/>
        </w:rPr>
        <w:t xml:space="preserve">  DENIÉGASE la medida cautelar de suspensión provisional del acto administrativo demandado, por las razones anotadas en la presente providencia</w:t>
      </w:r>
      <w:r w:rsidR="00A65D8A" w:rsidRPr="009F7640">
        <w:rPr>
          <w:rFonts w:ascii="Arial" w:hAnsi="Arial" w:cs="Arial"/>
          <w:b/>
          <w:bCs/>
          <w:i/>
          <w:iCs/>
          <w:sz w:val="20"/>
          <w:szCs w:val="20"/>
        </w:rPr>
        <w:t>”</w:t>
      </w:r>
      <w:r w:rsidRPr="009F7640">
        <w:rPr>
          <w:rFonts w:ascii="Arial" w:hAnsi="Arial" w:cs="Arial"/>
          <w:b/>
          <w:bCs/>
          <w:i/>
          <w:iCs/>
          <w:sz w:val="20"/>
          <w:szCs w:val="20"/>
        </w:rPr>
        <w:t>.</w:t>
      </w:r>
      <w:r w:rsidR="009F7640">
        <w:rPr>
          <w:rFonts w:ascii="Arial" w:hAnsi="Arial" w:cs="Arial"/>
          <w:b/>
          <w:bCs/>
          <w:i/>
          <w:iCs/>
          <w:sz w:val="20"/>
          <w:szCs w:val="20"/>
        </w:rPr>
        <w:t xml:space="preserve"> </w:t>
      </w:r>
      <w:r w:rsidR="009F7640" w:rsidRPr="009F7640">
        <w:rPr>
          <w:rFonts w:ascii="Arial" w:hAnsi="Arial" w:cs="Arial"/>
          <w:sz w:val="20"/>
          <w:szCs w:val="20"/>
        </w:rPr>
        <w:t>(Resaltado fuera de texto)</w:t>
      </w:r>
    </w:p>
    <w:p w14:paraId="2FB6A8A5" w14:textId="77777777" w:rsidR="007A1FD1" w:rsidRPr="007A1FD1" w:rsidRDefault="007A1FD1" w:rsidP="007A1FD1">
      <w:pPr>
        <w:spacing w:after="0" w:line="240" w:lineRule="auto"/>
        <w:jc w:val="both"/>
        <w:rPr>
          <w:rFonts w:ascii="Arial" w:hAnsi="Arial" w:cs="Arial"/>
        </w:rPr>
      </w:pPr>
    </w:p>
    <w:p w14:paraId="0D7091D2" w14:textId="77777777" w:rsidR="00A65D8A" w:rsidRPr="00A65D8A" w:rsidRDefault="009F7640" w:rsidP="00A65D8A">
      <w:pPr>
        <w:spacing w:after="0" w:line="240" w:lineRule="auto"/>
        <w:jc w:val="both"/>
        <w:rPr>
          <w:rFonts w:ascii="Arial" w:hAnsi="Arial" w:cs="Arial"/>
        </w:rPr>
      </w:pPr>
      <w:r>
        <w:rPr>
          <w:rFonts w:ascii="Arial" w:hAnsi="Arial" w:cs="Arial"/>
        </w:rPr>
        <w:t>La precitada providencia</w:t>
      </w:r>
      <w:r w:rsidR="00A65D8A" w:rsidRPr="00A65D8A">
        <w:rPr>
          <w:rFonts w:ascii="Arial" w:hAnsi="Arial" w:cs="Arial"/>
        </w:rPr>
        <w:t xml:space="preserve"> quedó debidamente ejecutoriada el día 31 de agosto de 2022 a las 5:00 pm, produciéndose con ello la firmeza de la decisión adoptada.</w:t>
      </w:r>
    </w:p>
    <w:p w14:paraId="3296CA88" w14:textId="77777777" w:rsidR="00A65D8A" w:rsidRPr="00A65D8A" w:rsidRDefault="00A65D8A" w:rsidP="00A65D8A">
      <w:pPr>
        <w:spacing w:after="0" w:line="240" w:lineRule="auto"/>
        <w:jc w:val="both"/>
        <w:rPr>
          <w:rFonts w:ascii="Arial" w:hAnsi="Arial" w:cs="Arial"/>
        </w:rPr>
      </w:pPr>
    </w:p>
    <w:p w14:paraId="5DE48172" w14:textId="77777777" w:rsidR="009118C4" w:rsidRDefault="00A65D8A" w:rsidP="00A65D8A">
      <w:pPr>
        <w:spacing w:after="0" w:line="240" w:lineRule="auto"/>
        <w:jc w:val="both"/>
        <w:rPr>
          <w:rFonts w:ascii="Arial" w:hAnsi="Arial" w:cs="Arial"/>
        </w:rPr>
      </w:pPr>
      <w:r w:rsidRPr="00A65D8A">
        <w:rPr>
          <w:rFonts w:ascii="Arial" w:hAnsi="Arial" w:cs="Arial"/>
        </w:rPr>
        <w:t xml:space="preserve">Así </w:t>
      </w:r>
      <w:r>
        <w:rPr>
          <w:rFonts w:ascii="Arial" w:hAnsi="Arial" w:cs="Arial"/>
        </w:rPr>
        <w:t>los hechos</w:t>
      </w:r>
      <w:r w:rsidRPr="00A65D8A">
        <w:rPr>
          <w:rFonts w:ascii="Arial" w:hAnsi="Arial" w:cs="Arial"/>
        </w:rPr>
        <w:t xml:space="preserve">, toda vez que el Decreto Distrital 555 de 2021 recobra </w:t>
      </w:r>
      <w:r w:rsidR="00754157">
        <w:rPr>
          <w:rFonts w:ascii="Arial" w:hAnsi="Arial" w:cs="Arial"/>
        </w:rPr>
        <w:t xml:space="preserve">sus efectos jurídicos </w:t>
      </w:r>
      <w:r w:rsidR="009118C4">
        <w:rPr>
          <w:rFonts w:ascii="Arial" w:hAnsi="Arial" w:cs="Arial"/>
        </w:rPr>
        <w:t>a partir del 31 de agosto cuando la providencia quedó en firme, dicha norma recupera su</w:t>
      </w:r>
      <w:r w:rsidRPr="00A65D8A">
        <w:rPr>
          <w:rFonts w:ascii="Arial" w:hAnsi="Arial" w:cs="Arial"/>
        </w:rPr>
        <w:t xml:space="preserve"> fuerza ejecutoria y vinculante</w:t>
      </w:r>
      <w:r>
        <w:rPr>
          <w:rFonts w:ascii="Arial" w:hAnsi="Arial" w:cs="Arial"/>
        </w:rPr>
        <w:t xml:space="preserve">, </w:t>
      </w:r>
      <w:r w:rsidR="009118C4">
        <w:rPr>
          <w:rFonts w:ascii="Arial" w:hAnsi="Arial" w:cs="Arial"/>
        </w:rPr>
        <w:t xml:space="preserve">por </w:t>
      </w:r>
      <w:proofErr w:type="gramStart"/>
      <w:r w:rsidR="009118C4">
        <w:rPr>
          <w:rFonts w:ascii="Arial" w:hAnsi="Arial" w:cs="Arial"/>
        </w:rPr>
        <w:t>ende</w:t>
      </w:r>
      <w:proofErr w:type="gramEnd"/>
      <w:r w:rsidR="00754157">
        <w:rPr>
          <w:rFonts w:ascii="Arial" w:hAnsi="Arial" w:cs="Arial"/>
        </w:rPr>
        <w:t xml:space="preserve"> goza de presunción de legalidad</w:t>
      </w:r>
      <w:r w:rsidR="009118C4">
        <w:rPr>
          <w:rFonts w:ascii="Arial" w:hAnsi="Arial" w:cs="Arial"/>
        </w:rPr>
        <w:t>.</w:t>
      </w:r>
    </w:p>
    <w:p w14:paraId="2246DB8A" w14:textId="77777777" w:rsidR="009118C4" w:rsidRDefault="009118C4" w:rsidP="00A65D8A">
      <w:pPr>
        <w:spacing w:after="0" w:line="240" w:lineRule="auto"/>
        <w:jc w:val="both"/>
        <w:rPr>
          <w:rFonts w:ascii="Arial" w:hAnsi="Arial" w:cs="Arial"/>
        </w:rPr>
      </w:pPr>
    </w:p>
    <w:p w14:paraId="136110E8" w14:textId="77777777" w:rsidR="00F34372" w:rsidRDefault="009118C4" w:rsidP="00F34372">
      <w:pPr>
        <w:spacing w:after="0" w:line="240" w:lineRule="auto"/>
        <w:jc w:val="both"/>
        <w:rPr>
          <w:rFonts w:ascii="Arial" w:hAnsi="Arial" w:cs="Arial"/>
        </w:rPr>
      </w:pPr>
      <w:r>
        <w:rPr>
          <w:rFonts w:ascii="Arial" w:hAnsi="Arial" w:cs="Arial"/>
        </w:rPr>
        <w:t>Por lo anterior,</w:t>
      </w:r>
      <w:r w:rsidR="009F7640">
        <w:rPr>
          <w:rFonts w:ascii="Arial" w:hAnsi="Arial" w:cs="Arial"/>
        </w:rPr>
        <w:t xml:space="preserve"> resulta procedente</w:t>
      </w:r>
      <w:r>
        <w:rPr>
          <w:rFonts w:ascii="Arial" w:hAnsi="Arial" w:cs="Arial"/>
        </w:rPr>
        <w:t xml:space="preserve"> </w:t>
      </w:r>
      <w:r w:rsidR="0026106F">
        <w:rPr>
          <w:rFonts w:ascii="Arial" w:hAnsi="Arial" w:cs="Arial"/>
        </w:rPr>
        <w:t>aplicar</w:t>
      </w:r>
      <w:r>
        <w:rPr>
          <w:rFonts w:ascii="Arial" w:hAnsi="Arial" w:cs="Arial"/>
        </w:rPr>
        <w:t xml:space="preserve"> las disposiciones contenidas en ese Decreto relacionado con la apertura de la cuenta bancaria </w:t>
      </w:r>
      <w:r w:rsidR="00F34372">
        <w:rPr>
          <w:rFonts w:ascii="Arial" w:hAnsi="Arial" w:cs="Arial"/>
        </w:rPr>
        <w:t xml:space="preserve">y el </w:t>
      </w:r>
      <w:r w:rsidR="00F34372" w:rsidRPr="00F34372">
        <w:rPr>
          <w:rFonts w:ascii="Arial" w:hAnsi="Arial" w:cs="Arial"/>
        </w:rPr>
        <w:t>recaud</w:t>
      </w:r>
      <w:r w:rsidR="00F34372">
        <w:rPr>
          <w:rFonts w:ascii="Arial" w:hAnsi="Arial" w:cs="Arial"/>
        </w:rPr>
        <w:t xml:space="preserve">o </w:t>
      </w:r>
      <w:proofErr w:type="gramStart"/>
      <w:r w:rsidR="00F34372">
        <w:rPr>
          <w:rFonts w:ascii="Arial" w:hAnsi="Arial" w:cs="Arial"/>
        </w:rPr>
        <w:t xml:space="preserve">de </w:t>
      </w:r>
      <w:r w:rsidR="00F34372" w:rsidRPr="00F34372">
        <w:rPr>
          <w:rFonts w:ascii="Arial" w:hAnsi="Arial" w:cs="Arial"/>
        </w:rPr>
        <w:t xml:space="preserve"> los</w:t>
      </w:r>
      <w:proofErr w:type="gramEnd"/>
      <w:r w:rsidR="00F34372" w:rsidRPr="00F34372">
        <w:rPr>
          <w:rFonts w:ascii="Arial" w:hAnsi="Arial" w:cs="Arial"/>
        </w:rPr>
        <w:t xml:space="preserve"> instrumentos de financiación del desarrollo territorial</w:t>
      </w:r>
      <w:r w:rsidR="00F34372">
        <w:rPr>
          <w:rFonts w:ascii="Arial" w:hAnsi="Arial" w:cs="Arial"/>
        </w:rPr>
        <w:t xml:space="preserve"> </w:t>
      </w:r>
      <w:r w:rsidR="00F34372" w:rsidRPr="00F34372">
        <w:rPr>
          <w:rFonts w:ascii="Arial" w:hAnsi="Arial" w:cs="Arial"/>
        </w:rPr>
        <w:t>establecidos en el citado Decreto</w:t>
      </w:r>
      <w:r w:rsidR="00F34372">
        <w:rPr>
          <w:rFonts w:ascii="Arial" w:hAnsi="Arial" w:cs="Arial"/>
        </w:rPr>
        <w:t>.</w:t>
      </w:r>
    </w:p>
    <w:p w14:paraId="0DD24A9C" w14:textId="77777777" w:rsidR="00F34372" w:rsidRPr="00162083" w:rsidRDefault="00F34372" w:rsidP="00CC74F3">
      <w:pPr>
        <w:spacing w:after="0" w:line="240" w:lineRule="auto"/>
        <w:jc w:val="both"/>
        <w:rPr>
          <w:rFonts w:ascii="Arial" w:hAnsi="Arial" w:cs="Arial"/>
          <w:b/>
          <w:bCs/>
        </w:rPr>
      </w:pPr>
    </w:p>
    <w:p w14:paraId="5784EA3C" w14:textId="77777777" w:rsidR="00563ABE" w:rsidRPr="00162083" w:rsidRDefault="00563ABE" w:rsidP="00CC74F3">
      <w:pPr>
        <w:spacing w:after="0" w:line="240" w:lineRule="auto"/>
        <w:jc w:val="both"/>
        <w:rPr>
          <w:rFonts w:ascii="Arial" w:hAnsi="Arial" w:cs="Arial"/>
          <w:b/>
          <w:bCs/>
        </w:rPr>
      </w:pPr>
      <w:r w:rsidRPr="00162083">
        <w:rPr>
          <w:rFonts w:ascii="Arial" w:hAnsi="Arial" w:cs="Arial"/>
          <w:b/>
          <w:bCs/>
        </w:rPr>
        <w:t>CONCLUSIONES</w:t>
      </w:r>
    </w:p>
    <w:p w14:paraId="211AD60B" w14:textId="77777777" w:rsidR="00563ABE" w:rsidRPr="00162083" w:rsidRDefault="00563ABE" w:rsidP="00CC74F3">
      <w:pPr>
        <w:spacing w:after="0" w:line="240" w:lineRule="auto"/>
        <w:jc w:val="both"/>
        <w:rPr>
          <w:rFonts w:ascii="Arial" w:hAnsi="Arial" w:cs="Arial"/>
          <w:b/>
          <w:bCs/>
        </w:rPr>
      </w:pPr>
    </w:p>
    <w:p w14:paraId="1D921A19" w14:textId="77777777" w:rsidR="00003052" w:rsidRPr="00162083" w:rsidRDefault="00F34372" w:rsidP="007650B8">
      <w:pPr>
        <w:spacing w:after="0" w:line="240" w:lineRule="auto"/>
        <w:jc w:val="both"/>
        <w:rPr>
          <w:rFonts w:ascii="Arial" w:hAnsi="Arial" w:cs="Arial"/>
        </w:rPr>
      </w:pPr>
      <w:r w:rsidRPr="00162083">
        <w:rPr>
          <w:rFonts w:ascii="Arial" w:hAnsi="Arial" w:cs="Arial"/>
        </w:rPr>
        <w:t>Una vez realizado el anterior análisis legal y jurisprudencial se procede</w:t>
      </w:r>
      <w:r w:rsidR="006755E7" w:rsidRPr="00162083">
        <w:rPr>
          <w:rFonts w:ascii="Arial" w:hAnsi="Arial" w:cs="Arial"/>
        </w:rPr>
        <w:t xml:space="preserve"> a responder </w:t>
      </w:r>
      <w:r w:rsidR="0026106F">
        <w:rPr>
          <w:rFonts w:ascii="Arial" w:hAnsi="Arial" w:cs="Arial"/>
        </w:rPr>
        <w:t>los interrogantes en el orden planteado</w:t>
      </w:r>
      <w:r w:rsidR="006755E7" w:rsidRPr="00162083">
        <w:rPr>
          <w:rFonts w:ascii="Arial" w:hAnsi="Arial" w:cs="Arial"/>
        </w:rPr>
        <w:t xml:space="preserve">: </w:t>
      </w:r>
    </w:p>
    <w:p w14:paraId="08FFEA1B" w14:textId="77777777" w:rsidR="000E2C05" w:rsidRPr="00162083" w:rsidRDefault="000E2C05" w:rsidP="00971541">
      <w:pPr>
        <w:spacing w:after="0" w:line="240" w:lineRule="auto"/>
        <w:jc w:val="both"/>
        <w:rPr>
          <w:rFonts w:ascii="Arial" w:hAnsi="Arial" w:cs="Arial"/>
          <w:b/>
          <w:bCs/>
        </w:rPr>
      </w:pPr>
    </w:p>
    <w:p w14:paraId="5CC4CA0D" w14:textId="77777777" w:rsidR="00971541" w:rsidRPr="0026106F" w:rsidRDefault="00E21466" w:rsidP="00971541">
      <w:pPr>
        <w:autoSpaceDE w:val="0"/>
        <w:autoSpaceDN w:val="0"/>
        <w:adjustRightInd w:val="0"/>
        <w:spacing w:after="0" w:line="240" w:lineRule="auto"/>
        <w:jc w:val="both"/>
        <w:rPr>
          <w:rFonts w:ascii="Arial" w:hAnsi="Arial" w:cs="Arial"/>
          <w:b/>
          <w:bCs/>
          <w:i/>
          <w:iCs/>
        </w:rPr>
      </w:pPr>
      <w:r w:rsidRPr="0026106F">
        <w:rPr>
          <w:rFonts w:ascii="Arial" w:hAnsi="Arial" w:cs="Arial"/>
          <w:b/>
          <w:bCs/>
          <w:i/>
          <w:iCs/>
        </w:rPr>
        <w:t>¿Es jurídicamente viable que la DDT-SDH realice la apertura de la cuenta bancaria exclusiva para el recaudo de las obligaciones urbanísticas establecidas en el Decreto Distrital 555 de 2021, pese a que a la fecha en la que se eleva esta consulta, dicho Decreto no tiene efectos en atención a la declaratoria de suspensión provisional decretada por el Juzgado Quinto Administrativo Oral del Circuito Judicial de Bogotá</w:t>
      </w:r>
      <w:r w:rsidR="00971541" w:rsidRPr="0026106F">
        <w:rPr>
          <w:rFonts w:ascii="Arial" w:hAnsi="Arial" w:cs="Arial"/>
          <w:b/>
          <w:bCs/>
          <w:i/>
          <w:iCs/>
        </w:rPr>
        <w:t xml:space="preserve"> el pasado 14 de junio de 2022?</w:t>
      </w:r>
    </w:p>
    <w:p w14:paraId="04883010" w14:textId="77777777" w:rsidR="00971541" w:rsidRPr="00162083" w:rsidRDefault="00971541" w:rsidP="00F34372">
      <w:pPr>
        <w:autoSpaceDE w:val="0"/>
        <w:autoSpaceDN w:val="0"/>
        <w:adjustRightInd w:val="0"/>
        <w:spacing w:after="0" w:line="240" w:lineRule="auto"/>
        <w:jc w:val="both"/>
        <w:rPr>
          <w:rFonts w:ascii="Arial" w:hAnsi="Arial" w:cs="Arial"/>
          <w:b/>
          <w:bCs/>
        </w:rPr>
      </w:pPr>
    </w:p>
    <w:p w14:paraId="77A89965" w14:textId="36BE5D13" w:rsidR="00F34372" w:rsidRPr="00162083" w:rsidRDefault="001A069F" w:rsidP="00F34372">
      <w:pPr>
        <w:spacing w:after="0"/>
        <w:jc w:val="both"/>
        <w:rPr>
          <w:rFonts w:ascii="Arial" w:hAnsi="Arial" w:cs="Arial"/>
        </w:rPr>
      </w:pPr>
      <w:r>
        <w:rPr>
          <w:rFonts w:ascii="Arial" w:hAnsi="Arial" w:cs="Arial"/>
        </w:rPr>
        <w:t>E</w:t>
      </w:r>
      <w:r w:rsidR="00F34372" w:rsidRPr="00162083">
        <w:rPr>
          <w:rFonts w:ascii="Arial" w:hAnsi="Arial" w:cs="Arial"/>
        </w:rPr>
        <w:t>l Tribunal Administrativo de Cundinamarca ordenó la revocatoria de la suspensión provisional de los efectos del Decreto Distrital 555 de 2021</w:t>
      </w:r>
      <w:r w:rsidR="0026106F">
        <w:rPr>
          <w:rFonts w:ascii="Arial" w:hAnsi="Arial" w:cs="Arial"/>
        </w:rPr>
        <w:t xml:space="preserve"> dentro del proceso de nulidad simple</w:t>
      </w:r>
      <w:r w:rsidR="00F34372" w:rsidRPr="00162083">
        <w:rPr>
          <w:rFonts w:ascii="Arial" w:hAnsi="Arial" w:cs="Arial"/>
        </w:rPr>
        <w:t>,</w:t>
      </w:r>
      <w:r w:rsidR="0026106F">
        <w:rPr>
          <w:rFonts w:ascii="Arial" w:hAnsi="Arial" w:cs="Arial"/>
        </w:rPr>
        <w:t xml:space="preserve"> la </w:t>
      </w:r>
      <w:r w:rsidR="00F34372" w:rsidRPr="00162083">
        <w:rPr>
          <w:rFonts w:ascii="Arial" w:hAnsi="Arial" w:cs="Arial"/>
        </w:rPr>
        <w:t>providencia quedó debidamente ejecutoriada el pasado 31 de agosto a las 5:00 pm</w:t>
      </w:r>
      <w:r w:rsidR="0026106F">
        <w:rPr>
          <w:rFonts w:ascii="Arial" w:hAnsi="Arial" w:cs="Arial"/>
        </w:rPr>
        <w:t>. A</w:t>
      </w:r>
      <w:r w:rsidR="00F34372" w:rsidRPr="00162083">
        <w:rPr>
          <w:rFonts w:ascii="Arial" w:hAnsi="Arial" w:cs="Arial"/>
        </w:rPr>
        <w:t xml:space="preserve"> partir de esta fecha el mencionado Decreto recobra su fuerza vinculante y goza de presunción de legalidad, en tanto se surte el proceso </w:t>
      </w:r>
      <w:r w:rsidR="0026106F">
        <w:rPr>
          <w:rFonts w:ascii="Arial" w:hAnsi="Arial" w:cs="Arial"/>
        </w:rPr>
        <w:t>judicial</w:t>
      </w:r>
      <w:r w:rsidR="00F34372" w:rsidRPr="00162083">
        <w:rPr>
          <w:rFonts w:ascii="Arial" w:hAnsi="Arial" w:cs="Arial"/>
        </w:rPr>
        <w:t xml:space="preserve"> del mencionado Decreto 555.</w:t>
      </w:r>
    </w:p>
    <w:p w14:paraId="1A11B1C1" w14:textId="77777777" w:rsidR="00F34372" w:rsidRPr="00162083" w:rsidRDefault="00F34372" w:rsidP="00F34372">
      <w:pPr>
        <w:spacing w:after="0"/>
        <w:rPr>
          <w:rFonts w:ascii="Arial" w:hAnsi="Arial" w:cs="Arial"/>
        </w:rPr>
      </w:pPr>
    </w:p>
    <w:p w14:paraId="33DCE88B" w14:textId="77777777" w:rsidR="00F34372" w:rsidRPr="00162083" w:rsidRDefault="00F34372" w:rsidP="00F34372">
      <w:pPr>
        <w:spacing w:after="0"/>
        <w:jc w:val="both"/>
        <w:rPr>
          <w:rFonts w:ascii="Arial" w:hAnsi="Arial" w:cs="Arial"/>
        </w:rPr>
      </w:pPr>
      <w:r w:rsidRPr="00162083">
        <w:rPr>
          <w:rFonts w:ascii="Arial" w:hAnsi="Arial" w:cs="Arial"/>
        </w:rPr>
        <w:lastRenderedPageBreak/>
        <w:t xml:space="preserve">Por </w:t>
      </w:r>
      <w:r w:rsidR="0026106F">
        <w:rPr>
          <w:rFonts w:ascii="Arial" w:hAnsi="Arial" w:cs="Arial"/>
        </w:rPr>
        <w:t>lo anterior</w:t>
      </w:r>
      <w:r w:rsidRPr="00162083">
        <w:rPr>
          <w:rFonts w:ascii="Arial" w:hAnsi="Arial" w:cs="Arial"/>
        </w:rPr>
        <w:t>, es viable jurídicamente que la Dirección Distrital de Tesorería realice la apertura de la cuenta bancaria exclusiva para el recaudo de las obligaciones urbanísticas establecidas en el multicitado Decreto Distrital 555 de 2021.</w:t>
      </w:r>
    </w:p>
    <w:p w14:paraId="3CD1F583" w14:textId="77777777" w:rsidR="00F34372" w:rsidRPr="00162083" w:rsidRDefault="00F34372" w:rsidP="00F34372">
      <w:pPr>
        <w:spacing w:after="0"/>
        <w:rPr>
          <w:rFonts w:ascii="Arial" w:hAnsi="Arial" w:cs="Arial"/>
        </w:rPr>
      </w:pPr>
    </w:p>
    <w:p w14:paraId="5DC47456" w14:textId="77777777" w:rsidR="00971541" w:rsidRPr="0026106F" w:rsidRDefault="00E21466" w:rsidP="00971541">
      <w:pPr>
        <w:autoSpaceDE w:val="0"/>
        <w:autoSpaceDN w:val="0"/>
        <w:adjustRightInd w:val="0"/>
        <w:spacing w:after="0" w:line="240" w:lineRule="auto"/>
        <w:jc w:val="both"/>
        <w:rPr>
          <w:rFonts w:ascii="Arial" w:hAnsi="Arial" w:cs="Arial"/>
          <w:b/>
          <w:bCs/>
          <w:i/>
          <w:iCs/>
        </w:rPr>
      </w:pPr>
      <w:r w:rsidRPr="0026106F">
        <w:rPr>
          <w:rFonts w:ascii="Arial" w:hAnsi="Arial" w:cs="Arial"/>
          <w:b/>
          <w:bCs/>
          <w:i/>
          <w:iCs/>
        </w:rPr>
        <w:t>¿La apertura de la cuenta bancaria exclusiva establecida en los artículos 520 y 556 del Decreto Distrital 555 de 2021 y el hecho de que la DDT-SDH realizar</w:t>
      </w:r>
      <w:r w:rsidR="0026106F">
        <w:rPr>
          <w:rFonts w:ascii="Arial" w:hAnsi="Arial" w:cs="Arial"/>
          <w:b/>
          <w:bCs/>
          <w:i/>
          <w:iCs/>
        </w:rPr>
        <w:t>á</w:t>
      </w:r>
      <w:r w:rsidRPr="0026106F">
        <w:rPr>
          <w:rFonts w:ascii="Arial" w:hAnsi="Arial" w:cs="Arial"/>
          <w:b/>
          <w:bCs/>
          <w:i/>
          <w:iCs/>
        </w:rPr>
        <w:t xml:space="preserve"> el recaudo de estos nuevos seis (6) conceptos, iría o no en contravía de la decisión del Juzgado Quinto Administrativo Oral del Circuito Judicial de Bogotá</w:t>
      </w:r>
      <w:r w:rsidR="00971541" w:rsidRPr="0026106F">
        <w:rPr>
          <w:rFonts w:ascii="Arial" w:hAnsi="Arial" w:cs="Arial"/>
          <w:b/>
          <w:bCs/>
          <w:i/>
          <w:iCs/>
        </w:rPr>
        <w:t xml:space="preserve"> y, en consecuencia, se estarían recaudando conceptos que no encuentran vigentes, como resultado del decaimiento del fundamento legal para su recaudo?</w:t>
      </w:r>
    </w:p>
    <w:p w14:paraId="54AFE799" w14:textId="77777777" w:rsidR="00971541" w:rsidRPr="00162083" w:rsidRDefault="00971541" w:rsidP="00971541">
      <w:pPr>
        <w:autoSpaceDE w:val="0"/>
        <w:autoSpaceDN w:val="0"/>
        <w:adjustRightInd w:val="0"/>
        <w:spacing w:after="0" w:line="240" w:lineRule="auto"/>
        <w:rPr>
          <w:rFonts w:ascii="Arial" w:hAnsi="Arial" w:cs="Arial"/>
          <w:b/>
          <w:bCs/>
        </w:rPr>
      </w:pPr>
    </w:p>
    <w:p w14:paraId="7B54C90C" w14:textId="0A0507E2" w:rsidR="00162083" w:rsidRPr="00162083" w:rsidRDefault="00162083" w:rsidP="00162083">
      <w:pPr>
        <w:autoSpaceDE w:val="0"/>
        <w:autoSpaceDN w:val="0"/>
        <w:adjustRightInd w:val="0"/>
        <w:spacing w:after="0" w:line="240" w:lineRule="auto"/>
        <w:jc w:val="both"/>
        <w:rPr>
          <w:rFonts w:ascii="Arial" w:hAnsi="Arial" w:cs="Arial"/>
        </w:rPr>
      </w:pPr>
      <w:r w:rsidRPr="00162083">
        <w:rPr>
          <w:rFonts w:ascii="Arial" w:hAnsi="Arial" w:cs="Arial"/>
        </w:rPr>
        <w:t xml:space="preserve">De conformidad con la respuesta anterior, es viable jurídicamente </w:t>
      </w:r>
      <w:r w:rsidR="0026106F">
        <w:rPr>
          <w:rFonts w:ascii="Arial" w:hAnsi="Arial" w:cs="Arial"/>
        </w:rPr>
        <w:t xml:space="preserve">que la Dirección Distrital de Tesorería realice </w:t>
      </w:r>
      <w:r w:rsidRPr="00162083">
        <w:rPr>
          <w:rFonts w:ascii="Arial" w:hAnsi="Arial" w:cs="Arial"/>
        </w:rPr>
        <w:t>el recaudo de los conceptos</w:t>
      </w:r>
      <w:r w:rsidRPr="00162083">
        <w:t xml:space="preserve"> </w:t>
      </w:r>
      <w:r w:rsidRPr="00162083">
        <w:rPr>
          <w:rFonts w:ascii="Arial" w:hAnsi="Arial" w:cs="Arial"/>
        </w:rPr>
        <w:t xml:space="preserve"> de:</w:t>
      </w:r>
      <w:r w:rsidR="001A069F">
        <w:rPr>
          <w:rFonts w:ascii="Arial" w:hAnsi="Arial" w:cs="Arial"/>
        </w:rPr>
        <w:t xml:space="preserve"> </w:t>
      </w:r>
      <w:r w:rsidRPr="00162083">
        <w:rPr>
          <w:rFonts w:ascii="Arial" w:hAnsi="Arial" w:cs="Arial"/>
        </w:rPr>
        <w:t>Carga u obligación urbanística de las cesiones públicas para espacio público peatonal y para el encuentro (parques, plazas y plazoletas); carga u obligación urbanística de estacionamientos de uso público; Carga u obligación urbanística de cesión para equipamiento comunal público; Carga u obligación urbanística de las redes secundarias y locales de los servicios públicos domiciliarios y sus infraestructuras relacionadas (pluvial, acueducto y alcantarillado sanitario);  Obligación de destinación un porcentaje obligatorio de suelo o su equivalente en área construida para VIS y VIP y carga u obligación urbanística de carácter general.</w:t>
      </w:r>
    </w:p>
    <w:p w14:paraId="7EB1C3D9" w14:textId="77777777" w:rsidR="00162083" w:rsidRPr="00162083" w:rsidRDefault="00162083" w:rsidP="00162083">
      <w:pPr>
        <w:autoSpaceDE w:val="0"/>
        <w:autoSpaceDN w:val="0"/>
        <w:adjustRightInd w:val="0"/>
        <w:spacing w:after="0" w:line="240" w:lineRule="auto"/>
        <w:jc w:val="both"/>
        <w:rPr>
          <w:rFonts w:ascii="Arial" w:hAnsi="Arial" w:cs="Arial"/>
        </w:rPr>
      </w:pPr>
    </w:p>
    <w:p w14:paraId="04B34AA8" w14:textId="77777777" w:rsidR="000D347D" w:rsidRPr="00162083" w:rsidRDefault="00A1091C" w:rsidP="0054273B">
      <w:pPr>
        <w:autoSpaceDE w:val="0"/>
        <w:autoSpaceDN w:val="0"/>
        <w:adjustRightInd w:val="0"/>
        <w:spacing w:after="0" w:line="240" w:lineRule="auto"/>
        <w:jc w:val="both"/>
        <w:rPr>
          <w:rFonts w:ascii="Arial" w:hAnsi="Arial" w:cs="Arial"/>
        </w:rPr>
      </w:pPr>
      <w:r w:rsidRPr="00162083">
        <w:rPr>
          <w:rFonts w:ascii="Arial" w:hAnsi="Arial" w:cs="Arial"/>
          <w:b/>
          <w:bCs/>
        </w:rPr>
        <w:t>En el evento en el que la decisión final del Juzgado Quinto Administrativo Oral del Circuito Judicial de Bogotá D.C sea la declaratoria de nulidad del Decreto Distrital 555 de 2021, y la DDT-SDH haya procedido a abrir la cuenta bancaria dispuesta en los artículos 520 y 556 del mismo Decreto, ¿Cuál sería la destinación de los recursos que haya recaudado la DDT-SDH y quien administraría los mismos</w:t>
      </w:r>
    </w:p>
    <w:p w14:paraId="6D43B504" w14:textId="77777777" w:rsidR="009118C4" w:rsidRPr="00162083" w:rsidRDefault="009118C4" w:rsidP="00A1091C">
      <w:pPr>
        <w:autoSpaceDE w:val="0"/>
        <w:autoSpaceDN w:val="0"/>
        <w:adjustRightInd w:val="0"/>
        <w:spacing w:after="0" w:line="240" w:lineRule="auto"/>
        <w:jc w:val="both"/>
        <w:rPr>
          <w:rFonts w:ascii="Arial" w:hAnsi="Arial" w:cs="Arial"/>
        </w:rPr>
      </w:pPr>
    </w:p>
    <w:p w14:paraId="59845E2D" w14:textId="77777777" w:rsidR="00162083" w:rsidRPr="00162083" w:rsidRDefault="00162083" w:rsidP="00A1091C">
      <w:pPr>
        <w:autoSpaceDE w:val="0"/>
        <w:autoSpaceDN w:val="0"/>
        <w:adjustRightInd w:val="0"/>
        <w:spacing w:after="0" w:line="240" w:lineRule="auto"/>
        <w:jc w:val="both"/>
        <w:rPr>
          <w:rFonts w:ascii="Arial" w:hAnsi="Arial" w:cs="Arial"/>
        </w:rPr>
      </w:pPr>
      <w:r w:rsidRPr="00162083">
        <w:rPr>
          <w:rFonts w:ascii="Arial" w:hAnsi="Arial" w:cs="Arial"/>
        </w:rPr>
        <w:t>E</w:t>
      </w:r>
      <w:r w:rsidR="00A1091C" w:rsidRPr="00162083">
        <w:rPr>
          <w:rFonts w:ascii="Arial" w:hAnsi="Arial" w:cs="Arial"/>
        </w:rPr>
        <w:t xml:space="preserve">n el evento que se declare la nulidad </w:t>
      </w:r>
      <w:r w:rsidRPr="00162083">
        <w:rPr>
          <w:rFonts w:ascii="Arial" w:hAnsi="Arial" w:cs="Arial"/>
        </w:rPr>
        <w:t xml:space="preserve">simple </w:t>
      </w:r>
      <w:r w:rsidR="00A1091C" w:rsidRPr="00162083">
        <w:rPr>
          <w:rFonts w:ascii="Arial" w:hAnsi="Arial" w:cs="Arial"/>
        </w:rPr>
        <w:t xml:space="preserve">del Decreto Distrital 555 de 2021, este fallo tendría efecto </w:t>
      </w:r>
      <w:r w:rsidR="00A1091C" w:rsidRPr="00162083">
        <w:rPr>
          <w:rFonts w:ascii="Arial" w:hAnsi="Arial" w:cs="Arial"/>
          <w:i/>
          <w:iCs/>
        </w:rPr>
        <w:t>ex tunc</w:t>
      </w:r>
      <w:r w:rsidR="00A1091C" w:rsidRPr="00162083">
        <w:rPr>
          <w:rFonts w:ascii="Arial" w:hAnsi="Arial" w:cs="Arial"/>
        </w:rPr>
        <w:t>, es decir, retrotrae la situación a como se encontraba antes de haberse proferido el acto anulado</w:t>
      </w:r>
      <w:r w:rsidR="00A1091C" w:rsidRPr="00162083">
        <w:t xml:space="preserve"> </w:t>
      </w:r>
      <w:r w:rsidR="00A1091C" w:rsidRPr="00162083">
        <w:rPr>
          <w:rFonts w:ascii="Arial" w:hAnsi="Arial" w:cs="Arial"/>
        </w:rPr>
        <w:t>sin afectar las situaciones jurídicas que se consolidaron</w:t>
      </w:r>
      <w:r w:rsidRPr="00162083">
        <w:rPr>
          <w:rFonts w:ascii="Arial" w:hAnsi="Arial" w:cs="Arial"/>
        </w:rPr>
        <w:t>.</w:t>
      </w:r>
    </w:p>
    <w:p w14:paraId="461DCAC6" w14:textId="77777777" w:rsidR="00162083" w:rsidRPr="00162083" w:rsidRDefault="00162083" w:rsidP="00A1091C">
      <w:pPr>
        <w:autoSpaceDE w:val="0"/>
        <w:autoSpaceDN w:val="0"/>
        <w:adjustRightInd w:val="0"/>
        <w:spacing w:after="0" w:line="240" w:lineRule="auto"/>
        <w:jc w:val="both"/>
        <w:rPr>
          <w:rFonts w:ascii="Arial" w:hAnsi="Arial" w:cs="Arial"/>
        </w:rPr>
      </w:pPr>
    </w:p>
    <w:p w14:paraId="7FF8F361" w14:textId="77777777" w:rsidR="00A1091C" w:rsidRPr="00162083" w:rsidRDefault="00162083" w:rsidP="00A1091C">
      <w:pPr>
        <w:autoSpaceDE w:val="0"/>
        <w:autoSpaceDN w:val="0"/>
        <w:adjustRightInd w:val="0"/>
        <w:spacing w:after="0" w:line="240" w:lineRule="auto"/>
        <w:jc w:val="both"/>
        <w:rPr>
          <w:rFonts w:ascii="Arial" w:hAnsi="Arial" w:cs="Arial"/>
        </w:rPr>
      </w:pPr>
      <w:r w:rsidRPr="00162083">
        <w:rPr>
          <w:rFonts w:ascii="Arial" w:hAnsi="Arial" w:cs="Arial"/>
        </w:rPr>
        <w:t>Las situaciones jurídicas consolidadas</w:t>
      </w:r>
      <w:r w:rsidR="00A1091C" w:rsidRPr="00162083">
        <w:rPr>
          <w:rFonts w:ascii="Arial" w:hAnsi="Arial" w:cs="Arial"/>
        </w:rPr>
        <w:t xml:space="preserve"> </w:t>
      </w:r>
      <w:r w:rsidR="00A1091C" w:rsidRPr="00162083">
        <w:rPr>
          <w:rFonts w:ascii="Arial" w:hAnsi="Arial" w:cs="Arial"/>
          <w:i/>
          <w:iCs/>
        </w:rPr>
        <w:t>“(…) conforme la jurisprudencia de lo contencioso administrativo, son aquellas que han quedado en firme, o han sido objeto de pronunciamiento judicial, es decir, que han hecho tránsito a cosa juzgada, por tanto, no son susceptibles de debatirse ni jurídica ni administrativamente</w:t>
      </w:r>
      <w:r w:rsidR="00A1091C" w:rsidRPr="00162083">
        <w:rPr>
          <w:rFonts w:ascii="Arial" w:hAnsi="Arial" w:cs="Arial"/>
        </w:rPr>
        <w:t>”</w:t>
      </w:r>
      <w:r w:rsidR="00A1091C" w:rsidRPr="00162083">
        <w:rPr>
          <w:rStyle w:val="Refdenotaalpie"/>
          <w:rFonts w:ascii="Arial" w:hAnsi="Arial" w:cs="Arial"/>
        </w:rPr>
        <w:footnoteReference w:id="2"/>
      </w:r>
      <w:r w:rsidR="00A1091C" w:rsidRPr="00162083">
        <w:rPr>
          <w:rFonts w:ascii="Arial" w:hAnsi="Arial" w:cs="Arial"/>
        </w:rPr>
        <w:t>.</w:t>
      </w:r>
    </w:p>
    <w:p w14:paraId="0C9DCE32" w14:textId="77777777" w:rsidR="00A1091C" w:rsidRDefault="00A1091C" w:rsidP="00A1091C">
      <w:pPr>
        <w:autoSpaceDE w:val="0"/>
        <w:autoSpaceDN w:val="0"/>
        <w:adjustRightInd w:val="0"/>
        <w:spacing w:after="0" w:line="240" w:lineRule="auto"/>
        <w:jc w:val="both"/>
        <w:rPr>
          <w:rFonts w:ascii="Arial" w:hAnsi="Arial" w:cs="Arial"/>
        </w:rPr>
      </w:pPr>
    </w:p>
    <w:p w14:paraId="1CFC14AE" w14:textId="23A29E92" w:rsidR="0026106F" w:rsidRDefault="0026106F" w:rsidP="00A1091C">
      <w:pPr>
        <w:autoSpaceDE w:val="0"/>
        <w:autoSpaceDN w:val="0"/>
        <w:adjustRightInd w:val="0"/>
        <w:spacing w:after="0" w:line="240" w:lineRule="auto"/>
        <w:jc w:val="both"/>
        <w:rPr>
          <w:rFonts w:ascii="Arial" w:hAnsi="Arial" w:cs="Arial"/>
        </w:rPr>
      </w:pPr>
      <w:r>
        <w:rPr>
          <w:rFonts w:ascii="Arial" w:hAnsi="Arial" w:cs="Arial"/>
        </w:rPr>
        <w:t xml:space="preserve">Por ello los recursos recaudados y su destinación </w:t>
      </w:r>
      <w:r w:rsidR="001A069F">
        <w:rPr>
          <w:rFonts w:ascii="Arial" w:hAnsi="Arial" w:cs="Arial"/>
        </w:rPr>
        <w:t xml:space="preserve">realizada durante el proceso judicial </w:t>
      </w:r>
      <w:r>
        <w:rPr>
          <w:rFonts w:ascii="Arial" w:hAnsi="Arial" w:cs="Arial"/>
        </w:rPr>
        <w:t xml:space="preserve">se mantiene. En cuanto a la administración de </w:t>
      </w:r>
      <w:proofErr w:type="gramStart"/>
      <w:r>
        <w:rPr>
          <w:rFonts w:ascii="Arial" w:hAnsi="Arial" w:cs="Arial"/>
        </w:rPr>
        <w:t>los mismos</w:t>
      </w:r>
      <w:proofErr w:type="gramEnd"/>
      <w:r>
        <w:rPr>
          <w:rFonts w:ascii="Arial" w:hAnsi="Arial" w:cs="Arial"/>
        </w:rPr>
        <w:t xml:space="preserve"> se deberá estar a lo resuelto en el fallo de nulidad.</w:t>
      </w:r>
    </w:p>
    <w:p w14:paraId="0DB219C0" w14:textId="77777777" w:rsidR="0026106F" w:rsidRPr="00162083" w:rsidRDefault="0026106F" w:rsidP="00A1091C">
      <w:pPr>
        <w:autoSpaceDE w:val="0"/>
        <w:autoSpaceDN w:val="0"/>
        <w:adjustRightInd w:val="0"/>
        <w:spacing w:after="0" w:line="240" w:lineRule="auto"/>
        <w:jc w:val="both"/>
        <w:rPr>
          <w:rFonts w:ascii="Arial" w:hAnsi="Arial" w:cs="Arial"/>
        </w:rPr>
      </w:pPr>
    </w:p>
    <w:p w14:paraId="0492999E" w14:textId="77777777" w:rsidR="00AC6704" w:rsidRPr="00162083" w:rsidRDefault="00C762FC" w:rsidP="00CC74F3">
      <w:pPr>
        <w:spacing w:after="0" w:line="240" w:lineRule="auto"/>
        <w:jc w:val="both"/>
        <w:rPr>
          <w:rFonts w:ascii="Arial" w:hAnsi="Arial" w:cs="Arial"/>
        </w:rPr>
      </w:pPr>
      <w:bookmarkStart w:id="0" w:name="_Hlk97703911"/>
      <w:r w:rsidRPr="00162083">
        <w:rPr>
          <w:rFonts w:ascii="Arial" w:hAnsi="Arial" w:cs="Arial"/>
        </w:rPr>
        <w:t xml:space="preserve">En procura de impulsar </w:t>
      </w:r>
      <w:r w:rsidR="00B44AD4" w:rsidRPr="00162083">
        <w:rPr>
          <w:rFonts w:ascii="Arial" w:hAnsi="Arial" w:cs="Arial"/>
        </w:rPr>
        <w:t>el</w:t>
      </w:r>
      <w:r w:rsidRPr="00162083">
        <w:rPr>
          <w:rFonts w:ascii="Arial" w:hAnsi="Arial" w:cs="Arial"/>
        </w:rPr>
        <w:t xml:space="preserve"> mejoramiento continuo en </w:t>
      </w:r>
      <w:r w:rsidR="00B44AD4" w:rsidRPr="00162083">
        <w:rPr>
          <w:rFonts w:ascii="Arial" w:hAnsi="Arial" w:cs="Arial"/>
        </w:rPr>
        <w:t>la a</w:t>
      </w:r>
      <w:r w:rsidRPr="00162083">
        <w:rPr>
          <w:rFonts w:ascii="Arial" w:hAnsi="Arial" w:cs="Arial"/>
        </w:rPr>
        <w:t xml:space="preserve">sesoría </w:t>
      </w:r>
      <w:r w:rsidR="00B44AD4" w:rsidRPr="00162083">
        <w:rPr>
          <w:rFonts w:ascii="Arial" w:hAnsi="Arial" w:cs="Arial"/>
        </w:rPr>
        <w:t>j</w:t>
      </w:r>
      <w:r w:rsidRPr="00162083">
        <w:rPr>
          <w:rFonts w:ascii="Arial" w:hAnsi="Arial" w:cs="Arial"/>
        </w:rPr>
        <w:t>urídica de la Secretaría Distrital de Hacienda, s</w:t>
      </w:r>
      <w:r w:rsidR="00B234D1" w:rsidRPr="00162083">
        <w:rPr>
          <w:rFonts w:ascii="Arial" w:hAnsi="Arial" w:cs="Arial"/>
        </w:rPr>
        <w:t xml:space="preserve">e solicita </w:t>
      </w:r>
      <w:r w:rsidRPr="00162083">
        <w:rPr>
          <w:rFonts w:ascii="Arial" w:hAnsi="Arial" w:cs="Arial"/>
        </w:rPr>
        <w:t>verifi</w:t>
      </w:r>
      <w:r w:rsidR="00B234D1" w:rsidRPr="00162083">
        <w:rPr>
          <w:rFonts w:ascii="Arial" w:hAnsi="Arial" w:cs="Arial"/>
        </w:rPr>
        <w:t>car</w:t>
      </w:r>
      <w:r w:rsidRPr="00162083">
        <w:rPr>
          <w:rFonts w:ascii="Arial" w:hAnsi="Arial" w:cs="Arial"/>
        </w:rPr>
        <w:t xml:space="preserve"> si el concepto emitido contribuyó a resolver de fondo el problema jurídico planteado. De no ser así, por favor </w:t>
      </w:r>
      <w:r w:rsidR="00B234D1" w:rsidRPr="00162083">
        <w:rPr>
          <w:rFonts w:ascii="Arial" w:hAnsi="Arial" w:cs="Arial"/>
        </w:rPr>
        <w:t xml:space="preserve">informar </w:t>
      </w:r>
      <w:r w:rsidRPr="00162083">
        <w:rPr>
          <w:rFonts w:ascii="Arial" w:hAnsi="Arial" w:cs="Arial"/>
        </w:rPr>
        <w:t>de manera inmediata a la Dirección Jurídica</w:t>
      </w:r>
      <w:r w:rsidR="00184159" w:rsidRPr="00162083">
        <w:rPr>
          <w:rFonts w:ascii="Arial" w:hAnsi="Arial" w:cs="Arial"/>
        </w:rPr>
        <w:t xml:space="preserve"> de Hacienda</w:t>
      </w:r>
      <w:r w:rsidR="007E3D41" w:rsidRPr="00162083">
        <w:rPr>
          <w:rFonts w:ascii="Arial" w:hAnsi="Arial" w:cs="Arial"/>
        </w:rPr>
        <w:t>.</w:t>
      </w:r>
    </w:p>
    <w:bookmarkEnd w:id="0"/>
    <w:p w14:paraId="071C0517" w14:textId="77777777" w:rsidR="0068317A" w:rsidRPr="00162083" w:rsidRDefault="0068317A" w:rsidP="00CC74F3">
      <w:pPr>
        <w:spacing w:after="0" w:line="240" w:lineRule="auto"/>
        <w:jc w:val="both"/>
        <w:rPr>
          <w:rFonts w:ascii="Arial" w:hAnsi="Arial" w:cs="Arial"/>
        </w:rPr>
      </w:pPr>
    </w:p>
    <w:p w14:paraId="58FBE9CB" w14:textId="77777777" w:rsidR="00FA42B0" w:rsidRPr="00162083" w:rsidRDefault="00FA42B0" w:rsidP="00CC74F3">
      <w:pPr>
        <w:spacing w:after="0" w:line="240" w:lineRule="auto"/>
        <w:jc w:val="both"/>
        <w:rPr>
          <w:rFonts w:ascii="Arial" w:hAnsi="Arial" w:cs="Arial"/>
        </w:rPr>
      </w:pPr>
      <w:r w:rsidRPr="00162083">
        <w:rPr>
          <w:rFonts w:ascii="Arial" w:hAnsi="Arial" w:cs="Arial"/>
        </w:rPr>
        <w:t xml:space="preserve">Cordialmente, </w:t>
      </w:r>
    </w:p>
    <w:p w14:paraId="5344F18D" w14:textId="77777777" w:rsidR="00FA42B0" w:rsidRPr="00162083" w:rsidRDefault="00FA42B0" w:rsidP="00CC74F3">
      <w:pPr>
        <w:spacing w:after="0" w:line="240" w:lineRule="auto"/>
        <w:jc w:val="both"/>
        <w:rPr>
          <w:rFonts w:ascii="Arial" w:hAnsi="Arial" w:cs="Arial"/>
        </w:rPr>
      </w:pPr>
    </w:p>
    <w:p w14:paraId="16F3A224" w14:textId="77777777" w:rsidR="0040658F" w:rsidRPr="00162083" w:rsidRDefault="0040658F" w:rsidP="00CC74F3">
      <w:pPr>
        <w:spacing w:after="0" w:line="240" w:lineRule="auto"/>
        <w:jc w:val="both"/>
        <w:rPr>
          <w:rFonts w:ascii="Arial" w:hAnsi="Arial" w:cs="Arial"/>
          <w:b/>
          <w:bCs/>
        </w:rPr>
      </w:pPr>
    </w:p>
    <w:p w14:paraId="1B9FF27B" w14:textId="77777777" w:rsidR="00FA42B0" w:rsidRPr="00162083" w:rsidRDefault="00162083" w:rsidP="00CC74F3">
      <w:pPr>
        <w:spacing w:after="0" w:line="240" w:lineRule="auto"/>
        <w:jc w:val="both"/>
        <w:rPr>
          <w:rFonts w:ascii="Arial" w:hAnsi="Arial" w:cs="Arial"/>
          <w:b/>
          <w:bCs/>
        </w:rPr>
      </w:pPr>
      <w:r w:rsidRPr="00162083">
        <w:rPr>
          <w:rFonts w:ascii="Arial" w:hAnsi="Arial" w:cs="Arial"/>
          <w:b/>
          <w:bCs/>
        </w:rPr>
        <w:t>Leonardo Arturo Pazos Galindo</w:t>
      </w:r>
    </w:p>
    <w:p w14:paraId="62262363" w14:textId="77777777" w:rsidR="00C921DE" w:rsidRPr="00162083" w:rsidRDefault="00C921DE" w:rsidP="00CC74F3">
      <w:pPr>
        <w:spacing w:after="0" w:line="240" w:lineRule="auto"/>
        <w:jc w:val="both"/>
        <w:rPr>
          <w:rFonts w:ascii="Arial" w:hAnsi="Arial" w:cs="Arial"/>
        </w:rPr>
      </w:pPr>
      <w:r w:rsidRPr="00162083">
        <w:rPr>
          <w:rFonts w:ascii="Arial" w:hAnsi="Arial" w:cs="Arial"/>
        </w:rPr>
        <w:t xml:space="preserve">Director </w:t>
      </w:r>
      <w:r w:rsidR="003713BD" w:rsidRPr="00162083">
        <w:rPr>
          <w:rFonts w:ascii="Arial" w:hAnsi="Arial" w:cs="Arial"/>
        </w:rPr>
        <w:t>Jurídico</w:t>
      </w:r>
    </w:p>
    <w:p w14:paraId="6C286A79" w14:textId="77777777" w:rsidR="000855B8" w:rsidRPr="00162083" w:rsidRDefault="001A069F" w:rsidP="00CC74F3">
      <w:pPr>
        <w:spacing w:after="0" w:line="240" w:lineRule="auto"/>
        <w:jc w:val="both"/>
        <w:rPr>
          <w:rFonts w:ascii="Arial" w:hAnsi="Arial" w:cs="Arial"/>
        </w:rPr>
      </w:pPr>
      <w:hyperlink r:id="rId9" w:history="1">
        <w:r w:rsidR="001803EE" w:rsidRPr="00162083">
          <w:rPr>
            <w:rStyle w:val="Hipervnculo"/>
            <w:rFonts w:ascii="Arial" w:hAnsi="Arial" w:cs="Arial"/>
            <w:color w:val="auto"/>
          </w:rPr>
          <w:t>lpazos@shd.gov.co</w:t>
        </w:r>
      </w:hyperlink>
      <w:r w:rsidR="001803EE" w:rsidRPr="00162083">
        <w:rPr>
          <w:rFonts w:ascii="Arial" w:hAnsi="Arial" w:cs="Arial"/>
        </w:rPr>
        <w:t xml:space="preserve"> </w:t>
      </w:r>
    </w:p>
    <w:p w14:paraId="6A9F9F55" w14:textId="77777777" w:rsidR="002F7208" w:rsidRPr="00162083" w:rsidRDefault="002F7208" w:rsidP="00CC74F3">
      <w:pPr>
        <w:spacing w:after="0" w:line="240" w:lineRule="auto"/>
        <w:jc w:val="both"/>
        <w:rPr>
          <w:rFonts w:ascii="Arial" w:hAnsi="Arial" w:cs="Arial"/>
        </w:rPr>
      </w:pPr>
    </w:p>
    <w:p w14:paraId="08B0676F" w14:textId="77777777" w:rsidR="00F151BF" w:rsidRPr="00162083" w:rsidRDefault="00162083" w:rsidP="00A1091C">
      <w:pPr>
        <w:spacing w:after="0" w:line="240" w:lineRule="auto"/>
        <w:jc w:val="both"/>
        <w:rPr>
          <w:rFonts w:ascii="Arial" w:hAnsi="Arial" w:cs="Arial"/>
          <w:sz w:val="14"/>
          <w:szCs w:val="14"/>
        </w:rPr>
      </w:pPr>
      <w:r w:rsidRPr="00162083">
        <w:rPr>
          <w:rFonts w:ascii="Arial" w:hAnsi="Arial" w:cs="Arial"/>
          <w:sz w:val="14"/>
          <w:szCs w:val="14"/>
        </w:rPr>
        <w:t>Pr</w:t>
      </w:r>
      <w:r w:rsidR="00A1091C" w:rsidRPr="00162083">
        <w:rPr>
          <w:rFonts w:ascii="Arial" w:hAnsi="Arial" w:cs="Arial"/>
          <w:sz w:val="14"/>
          <w:szCs w:val="14"/>
        </w:rPr>
        <w:t xml:space="preserve">oyectó: </w:t>
      </w:r>
      <w:r w:rsidR="00B348E5" w:rsidRPr="00162083">
        <w:rPr>
          <w:rFonts w:ascii="Arial" w:hAnsi="Arial" w:cs="Arial"/>
          <w:sz w:val="14"/>
          <w:szCs w:val="14"/>
        </w:rPr>
        <w:t xml:space="preserve">Clara Lucía Morales Posso, Asesora Dirección Jurídica, </w:t>
      </w:r>
      <w:hyperlink r:id="rId10" w:history="1">
        <w:r w:rsidR="00BD6535" w:rsidRPr="00162083">
          <w:rPr>
            <w:rStyle w:val="Hipervnculo"/>
            <w:rFonts w:ascii="Arial" w:hAnsi="Arial" w:cs="Arial"/>
            <w:color w:val="auto"/>
            <w:sz w:val="14"/>
            <w:szCs w:val="14"/>
          </w:rPr>
          <w:t>cmorales@shd.gov.co</w:t>
        </w:r>
      </w:hyperlink>
      <w:r w:rsidR="00BD6535" w:rsidRPr="00162083">
        <w:rPr>
          <w:rFonts w:ascii="Arial" w:hAnsi="Arial" w:cs="Arial"/>
          <w:sz w:val="14"/>
          <w:szCs w:val="14"/>
        </w:rPr>
        <w:t xml:space="preserve"> </w:t>
      </w:r>
      <w:r w:rsidR="00F151BF" w:rsidRPr="00162083">
        <w:rPr>
          <w:rFonts w:ascii="Arial" w:hAnsi="Arial" w:cs="Arial"/>
          <w:sz w:val="14"/>
          <w:szCs w:val="14"/>
        </w:rPr>
        <w:t xml:space="preserve"> </w:t>
      </w:r>
    </w:p>
    <w:sectPr w:rsidR="00F151BF" w:rsidRPr="00162083" w:rsidSect="00162083">
      <w:headerReference w:type="default" r:id="rId11"/>
      <w:footerReference w:type="default" r:id="rId12"/>
      <w:pgSz w:w="11906" w:h="16838"/>
      <w:pgMar w:top="1417" w:right="1133"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BF83A" w14:textId="77777777" w:rsidR="00A8107C" w:rsidRDefault="00A8107C">
      <w:pPr>
        <w:spacing w:after="0" w:line="240" w:lineRule="auto"/>
      </w:pPr>
      <w:r>
        <w:separator/>
      </w:r>
    </w:p>
  </w:endnote>
  <w:endnote w:type="continuationSeparator" w:id="0">
    <w:p w14:paraId="784BEE6D" w14:textId="77777777" w:rsidR="00A8107C" w:rsidRDefault="00A81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A7C9" w14:textId="77777777" w:rsidR="00177F4F" w:rsidRDefault="00177F4F">
    <w:pPr>
      <w:pStyle w:val="Piedepgina"/>
    </w:pPr>
    <w:r>
      <w:rPr>
        <w:noProof/>
      </w:rPr>
      <mc:AlternateContent>
        <mc:Choice Requires="wps">
          <w:drawing>
            <wp:anchor distT="0" distB="0" distL="114300" distR="114300" simplePos="0" relativeHeight="251662336" behindDoc="0" locked="0" layoutInCell="1" allowOverlap="1" wp14:anchorId="04CAD6A1" wp14:editId="74989CF7">
              <wp:simplePos x="0" y="0"/>
              <wp:positionH relativeFrom="rightMargin">
                <wp:posOffset>167005</wp:posOffset>
              </wp:positionH>
              <wp:positionV relativeFrom="paragraph">
                <wp:posOffset>-1110615</wp:posOffset>
              </wp:positionV>
              <wp:extent cx="641350" cy="800100"/>
              <wp:effectExtent l="0" t="0" r="6350" b="0"/>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4F3E1" w14:textId="77777777" w:rsidR="00177F4F" w:rsidRPr="0026106F" w:rsidRDefault="00177F4F" w:rsidP="001453E4">
                          <w:pPr>
                            <w:pStyle w:val="Encabezado"/>
                            <w:jc w:val="center"/>
                            <w:rPr>
                              <w:rStyle w:val="Nmerodepgina"/>
                              <w:rFonts w:ascii="Arial" w:hAnsi="Arial" w:cs="Arial"/>
                              <w:sz w:val="16"/>
                              <w:szCs w:val="16"/>
                            </w:rPr>
                          </w:pPr>
                          <w:r w:rsidRPr="0026106F">
                            <w:fldChar w:fldCharType="begin"/>
                          </w:r>
                          <w:r w:rsidRPr="0026106F">
                            <w:rPr>
                              <w:rFonts w:ascii="Arial" w:hAnsi="Arial" w:cs="Arial"/>
                              <w:sz w:val="16"/>
                              <w:szCs w:val="16"/>
                            </w:rPr>
                            <w:instrText>PAGE    \* MERGEFORMAT</w:instrText>
                          </w:r>
                          <w:r w:rsidRPr="0026106F">
                            <w:fldChar w:fldCharType="separate"/>
                          </w:r>
                          <w:r w:rsidRPr="0026106F">
                            <w:rPr>
                              <w:rStyle w:val="Nmerodepgina"/>
                              <w:rFonts w:ascii="Arial" w:hAnsi="Arial" w:cs="Arial"/>
                              <w:sz w:val="16"/>
                              <w:szCs w:val="16"/>
                            </w:rPr>
                            <w:t>2</w:t>
                          </w:r>
                          <w:r w:rsidRPr="0026106F">
                            <w:rPr>
                              <w:rStyle w:val="Nmerodepgina"/>
                              <w:rFonts w:ascii="Arial" w:hAnsi="Arial" w:cs="Arial"/>
                              <w:sz w:val="16"/>
                              <w:szCs w:val="16"/>
                            </w:rPr>
                            <w:fldChar w:fldCharType="end"/>
                          </w:r>
                        </w:p>
                        <w:p w14:paraId="0EFCD44F" w14:textId="77777777" w:rsidR="0026106F" w:rsidRPr="0026106F" w:rsidRDefault="00177F4F" w:rsidP="001453E4">
                          <w:pPr>
                            <w:pStyle w:val="Encabezado"/>
                            <w:jc w:val="center"/>
                            <w:rPr>
                              <w:sz w:val="16"/>
                              <w:szCs w:val="16"/>
                            </w:rPr>
                          </w:pPr>
                          <w:r w:rsidRPr="0026106F">
                            <w:rPr>
                              <w:sz w:val="16"/>
                              <w:szCs w:val="16"/>
                            </w:rPr>
                            <w:t xml:space="preserve">35.F.01 </w:t>
                          </w:r>
                        </w:p>
                        <w:p w14:paraId="14699ED0" w14:textId="77777777" w:rsidR="00177F4F" w:rsidRPr="0026106F" w:rsidRDefault="00177F4F" w:rsidP="001453E4">
                          <w:pPr>
                            <w:pStyle w:val="Encabezado"/>
                            <w:jc w:val="center"/>
                            <w:rPr>
                              <w:rFonts w:ascii="Arial" w:hAnsi="Arial" w:cs="Arial"/>
                              <w:sz w:val="16"/>
                              <w:szCs w:val="16"/>
                            </w:rPr>
                          </w:pPr>
                          <w:r w:rsidRPr="0026106F">
                            <w:rPr>
                              <w:sz w:val="16"/>
                              <w:szCs w:val="16"/>
                            </w:rPr>
                            <w:t>V.10</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6BA5CB" id="_x0000_t202" coordsize="21600,21600" o:spt="202" path="m,l,21600r21600,l21600,xe">
              <v:stroke joinstyle="miter"/>
              <v:path gradientshapeok="t" o:connecttype="rect"/>
            </v:shapetype>
            <v:shape id="Text Box 71" o:spid="_x0000_s1026" type="#_x0000_t202" style="position:absolute;margin-left:13.15pt;margin-top:-87.45pt;width:50.5pt;height:63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" filled="f" stroked="f">
              <v:textbox inset="0,0,0,0">
                <w:txbxContent>
                  <w:p w:rsidR="00177F4F" w:rsidRPr="0026106F" w:rsidRDefault="00177F4F" w:rsidP="001453E4">
                    <w:pPr>
                      <w:pStyle w:val="Encabezado"/>
                      <w:jc w:val="center"/>
                      <w:rPr>
                        <w:rStyle w:val="Nmerodepgina"/>
                        <w:rFonts w:ascii="Arial" w:hAnsi="Arial" w:cs="Arial"/>
                        <w:sz w:val="16"/>
                        <w:szCs w:val="16"/>
                      </w:rPr>
                    </w:pPr>
                    <w:r w:rsidRPr="0026106F">
                      <w:rPr>
                        <w:sz w:val="16"/>
                        <w:szCs w:val="16"/>
                      </w:rPr>
                      <w:fldChar w:fldCharType="begin"/>
                    </w:r>
                    <w:r w:rsidRPr="0026106F">
                      <w:rPr>
                        <w:rFonts w:ascii="Arial" w:hAnsi="Arial" w:cs="Arial"/>
                        <w:sz w:val="16"/>
                        <w:szCs w:val="16"/>
                      </w:rPr>
                      <w:instrText>PAGE    \* MERGEFORMAT</w:instrText>
                    </w:r>
                    <w:r w:rsidRPr="0026106F">
                      <w:rPr>
                        <w:sz w:val="16"/>
                        <w:szCs w:val="16"/>
                      </w:rPr>
                      <w:fldChar w:fldCharType="separate"/>
                    </w:r>
                    <w:r w:rsidRPr="0026106F">
                      <w:rPr>
                        <w:rStyle w:val="Nmerodepgina"/>
                        <w:rFonts w:ascii="Arial" w:hAnsi="Arial" w:cs="Arial"/>
                        <w:sz w:val="16"/>
                        <w:szCs w:val="16"/>
                      </w:rPr>
                      <w:t>2</w:t>
                    </w:r>
                    <w:r w:rsidRPr="0026106F">
                      <w:rPr>
                        <w:rStyle w:val="Nmerodepgina"/>
                        <w:rFonts w:ascii="Arial" w:hAnsi="Arial" w:cs="Arial"/>
                        <w:sz w:val="16"/>
                        <w:szCs w:val="16"/>
                      </w:rPr>
                      <w:fldChar w:fldCharType="end"/>
                    </w:r>
                  </w:p>
                  <w:p w:rsidR="0026106F" w:rsidRPr="0026106F" w:rsidRDefault="00177F4F" w:rsidP="001453E4">
                    <w:pPr>
                      <w:pStyle w:val="Encabezado"/>
                      <w:jc w:val="center"/>
                      <w:rPr>
                        <w:sz w:val="16"/>
                        <w:szCs w:val="16"/>
                      </w:rPr>
                    </w:pPr>
                    <w:r w:rsidRPr="0026106F">
                      <w:rPr>
                        <w:sz w:val="16"/>
                        <w:szCs w:val="16"/>
                      </w:rPr>
                      <w:t xml:space="preserve">35.F.01 </w:t>
                    </w:r>
                  </w:p>
                  <w:p w:rsidR="00177F4F" w:rsidRPr="0026106F" w:rsidRDefault="00177F4F" w:rsidP="001453E4">
                    <w:pPr>
                      <w:pStyle w:val="Encabezado"/>
                      <w:jc w:val="center"/>
                      <w:rPr>
                        <w:rFonts w:ascii="Arial" w:hAnsi="Arial" w:cs="Arial"/>
                        <w:sz w:val="16"/>
                        <w:szCs w:val="16"/>
                      </w:rPr>
                    </w:pPr>
                    <w:r w:rsidRPr="0026106F">
                      <w:rPr>
                        <w:sz w:val="16"/>
                        <w:szCs w:val="16"/>
                      </w:rPr>
                      <w:t>V.10</w:t>
                    </w:r>
                  </w:p>
                </w:txbxContent>
              </v:textbox>
              <w10:wrap anchorx="margin"/>
            </v:shape>
          </w:pict>
        </mc:Fallback>
      </mc:AlternateContent>
    </w:r>
    <w:r>
      <w:rPr>
        <w:noProof/>
      </w:rPr>
      <w:drawing>
        <wp:anchor distT="0" distB="0" distL="114300" distR="114300" simplePos="0" relativeHeight="251659264" behindDoc="1" locked="0" layoutInCell="1" allowOverlap="1" wp14:anchorId="1DCAB369" wp14:editId="04518383">
          <wp:simplePos x="0" y="0"/>
          <wp:positionH relativeFrom="page">
            <wp:align>left</wp:align>
          </wp:positionH>
          <wp:positionV relativeFrom="paragraph">
            <wp:posOffset>-628650</wp:posOffset>
          </wp:positionV>
          <wp:extent cx="7804728" cy="1389980"/>
          <wp:effectExtent l="0" t="0" r="0" b="0"/>
          <wp:wrapNone/>
          <wp:docPr id="3" name="Imagen 3"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04728" cy="13899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CC1D9" w14:textId="77777777" w:rsidR="00A8107C" w:rsidRDefault="00A8107C">
      <w:pPr>
        <w:spacing w:after="0" w:line="240" w:lineRule="auto"/>
      </w:pPr>
      <w:r>
        <w:separator/>
      </w:r>
    </w:p>
  </w:footnote>
  <w:footnote w:type="continuationSeparator" w:id="0">
    <w:p w14:paraId="35EC114D" w14:textId="77777777" w:rsidR="00A8107C" w:rsidRDefault="00A8107C">
      <w:pPr>
        <w:spacing w:after="0" w:line="240" w:lineRule="auto"/>
      </w:pPr>
      <w:r>
        <w:continuationSeparator/>
      </w:r>
    </w:p>
  </w:footnote>
  <w:footnote w:id="1">
    <w:p w14:paraId="462EED31" w14:textId="77777777" w:rsidR="004E02DE" w:rsidRPr="0026106F" w:rsidRDefault="004E02DE" w:rsidP="004E02DE">
      <w:pPr>
        <w:pStyle w:val="Textonotapie"/>
        <w:jc w:val="both"/>
        <w:rPr>
          <w:rFonts w:ascii="Arial" w:hAnsi="Arial" w:cs="Arial"/>
          <w:i/>
          <w:iCs/>
          <w:sz w:val="16"/>
          <w:szCs w:val="16"/>
        </w:rPr>
      </w:pPr>
      <w:r>
        <w:rPr>
          <w:rStyle w:val="Refdenotaalpie"/>
        </w:rPr>
        <w:footnoteRef/>
      </w:r>
      <w:r>
        <w:t xml:space="preserve"> </w:t>
      </w:r>
      <w:r w:rsidRPr="0026106F">
        <w:rPr>
          <w:rFonts w:ascii="Arial" w:hAnsi="Arial" w:cs="Arial"/>
          <w:i/>
          <w:iCs/>
          <w:sz w:val="16"/>
          <w:szCs w:val="16"/>
        </w:rPr>
        <w:t>Consejo de Estado, Sala de lo Contencioso Administrativo, Sección Primera, Consejero ponente: ROBERTO AUGUSTO SERRATO VALDÉS, Radicación número: 11001-03-24-000-2014-00302-00 del 28 de enero de 2019</w:t>
      </w:r>
    </w:p>
    <w:p w14:paraId="114E37E9" w14:textId="77777777" w:rsidR="004E02DE" w:rsidRDefault="004E02DE" w:rsidP="004E02DE">
      <w:pPr>
        <w:pStyle w:val="Textonotapie"/>
        <w:jc w:val="both"/>
        <w:rPr>
          <w:i/>
          <w:iCs/>
          <w:sz w:val="18"/>
          <w:szCs w:val="18"/>
        </w:rPr>
      </w:pPr>
    </w:p>
    <w:p w14:paraId="00C3A796" w14:textId="77777777" w:rsidR="004E02DE" w:rsidRPr="004E02DE" w:rsidRDefault="004E02DE" w:rsidP="004E02DE">
      <w:pPr>
        <w:pStyle w:val="Textonotapie"/>
        <w:jc w:val="both"/>
        <w:rPr>
          <w:i/>
          <w:iCs/>
          <w:sz w:val="18"/>
          <w:szCs w:val="18"/>
          <w:lang w:val="es-CO"/>
        </w:rPr>
      </w:pPr>
      <w:r w:rsidRPr="004E02DE">
        <w:rPr>
          <w:i/>
          <w:iCs/>
          <w:sz w:val="18"/>
          <w:szCs w:val="18"/>
        </w:rPr>
        <w:t xml:space="preserve"> </w:t>
      </w:r>
    </w:p>
  </w:footnote>
  <w:footnote w:id="2">
    <w:p w14:paraId="6D00D2F9" w14:textId="77777777" w:rsidR="00A1091C" w:rsidRPr="0026106F" w:rsidRDefault="00A1091C" w:rsidP="0026106F">
      <w:pPr>
        <w:pStyle w:val="Textonotapie"/>
        <w:jc w:val="both"/>
        <w:rPr>
          <w:rFonts w:ascii="Arial" w:hAnsi="Arial" w:cs="Arial"/>
          <w:i/>
          <w:iCs/>
          <w:sz w:val="16"/>
          <w:szCs w:val="16"/>
          <w:lang w:val="es-CO"/>
        </w:rPr>
      </w:pPr>
      <w:r w:rsidRPr="0026106F">
        <w:rPr>
          <w:rStyle w:val="Refdenotaalpie"/>
        </w:rPr>
        <w:footnoteRef/>
      </w:r>
      <w:r w:rsidRPr="0026106F">
        <w:t xml:space="preserve"> </w:t>
      </w:r>
      <w:r w:rsidRPr="0026106F">
        <w:rPr>
          <w:rFonts w:ascii="Arial" w:hAnsi="Arial" w:cs="Arial"/>
          <w:i/>
          <w:iCs/>
          <w:sz w:val="16"/>
          <w:szCs w:val="16"/>
        </w:rPr>
        <w:t>Corte Constitucional En Sentencia T-121 del 8 de marzo de 2016, con ponencia del Magistrado Gabriel Eduardo Mendoza Martelo</w:t>
      </w:r>
      <w:r w:rsidR="00162083" w:rsidRPr="0026106F">
        <w:rPr>
          <w:rFonts w:ascii="Arial" w:hAnsi="Arial" w:cs="Arial"/>
          <w:i/>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8EAB" w14:textId="77777777" w:rsidR="00177F4F" w:rsidRDefault="00177F4F">
    <w:pPr>
      <w:pStyle w:val="Encabezado"/>
    </w:pPr>
    <w:r>
      <w:rPr>
        <w:noProof/>
        <w:lang w:val="es-CO"/>
      </w:rPr>
      <w:drawing>
        <wp:anchor distT="0" distB="0" distL="114300" distR="114300" simplePos="0" relativeHeight="251658240" behindDoc="1" locked="0" layoutInCell="1" allowOverlap="1" wp14:anchorId="01F41872" wp14:editId="0C5A71C2">
          <wp:simplePos x="0" y="0"/>
          <wp:positionH relativeFrom="column">
            <wp:posOffset>-1285875</wp:posOffset>
          </wp:positionH>
          <wp:positionV relativeFrom="paragraph">
            <wp:posOffset>-514985</wp:posOffset>
          </wp:positionV>
          <wp:extent cx="7729470" cy="1211283"/>
          <wp:effectExtent l="0" t="0" r="0" b="0"/>
          <wp:wrapNone/>
          <wp:docPr id="1" name="Imagen 1" descr="Imagen que contiene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a de trabajo 1@3x.png"/>
                  <pic:cNvPicPr/>
                </pic:nvPicPr>
                <pic:blipFill>
                  <a:blip r:embed="rId1">
                    <a:extLst>
                      <a:ext uri="{28A0092B-C50C-407E-A947-70E740481C1C}">
                        <a14:useLocalDpi xmlns:a14="http://schemas.microsoft.com/office/drawing/2010/main" val="0"/>
                      </a:ext>
                    </a:extLst>
                  </a:blip>
                  <a:stretch>
                    <a:fillRect/>
                  </a:stretch>
                </pic:blipFill>
                <pic:spPr>
                  <a:xfrm>
                    <a:off x="0" y="0"/>
                    <a:ext cx="7729470" cy="121128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6795"/>
    <w:multiLevelType w:val="hybridMultilevel"/>
    <w:tmpl w:val="79B0FBB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797792"/>
    <w:multiLevelType w:val="hybridMultilevel"/>
    <w:tmpl w:val="0B32E9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09532A"/>
    <w:multiLevelType w:val="hybridMultilevel"/>
    <w:tmpl w:val="6ACA68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13B5EAE"/>
    <w:multiLevelType w:val="hybridMultilevel"/>
    <w:tmpl w:val="DFC047E8"/>
    <w:lvl w:ilvl="0" w:tplc="FBF6AA46">
      <w:start w:val="1"/>
      <w:numFmt w:val="decimal"/>
      <w:lvlText w:val="%1)"/>
      <w:lvlJc w:val="left"/>
      <w:pPr>
        <w:ind w:left="720" w:hanging="360"/>
      </w:pPr>
      <w:rPr>
        <w:rFonts w:hint="default"/>
        <w:b/>
        <w:bCs/>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CFE175D"/>
    <w:multiLevelType w:val="hybridMultilevel"/>
    <w:tmpl w:val="79B0FBB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AFE2412"/>
    <w:multiLevelType w:val="hybridMultilevel"/>
    <w:tmpl w:val="3B1E72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D1E447C"/>
    <w:multiLevelType w:val="hybridMultilevel"/>
    <w:tmpl w:val="783E51AC"/>
    <w:lvl w:ilvl="0" w:tplc="0C0A0011">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A6E591A"/>
    <w:multiLevelType w:val="hybridMultilevel"/>
    <w:tmpl w:val="359E7F9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42404920">
    <w:abstractNumId w:val="3"/>
  </w:num>
  <w:num w:numId="2" w16cid:durableId="1318999842">
    <w:abstractNumId w:val="0"/>
  </w:num>
  <w:num w:numId="3" w16cid:durableId="165639162">
    <w:abstractNumId w:val="4"/>
  </w:num>
  <w:num w:numId="4" w16cid:durableId="1870795646">
    <w:abstractNumId w:val="7"/>
  </w:num>
  <w:num w:numId="5" w16cid:durableId="109663219">
    <w:abstractNumId w:val="6"/>
  </w:num>
  <w:num w:numId="6" w16cid:durableId="158468806">
    <w:abstractNumId w:val="5"/>
  </w:num>
  <w:num w:numId="7" w16cid:durableId="825589410">
    <w:abstractNumId w:val="2"/>
  </w:num>
  <w:num w:numId="8" w16cid:durableId="1459570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2B0"/>
    <w:rsid w:val="00003052"/>
    <w:rsid w:val="000035AA"/>
    <w:rsid w:val="00005027"/>
    <w:rsid w:val="00005BD6"/>
    <w:rsid w:val="00013800"/>
    <w:rsid w:val="0001515D"/>
    <w:rsid w:val="00023200"/>
    <w:rsid w:val="00026235"/>
    <w:rsid w:val="000375E6"/>
    <w:rsid w:val="00056178"/>
    <w:rsid w:val="00057810"/>
    <w:rsid w:val="0006030A"/>
    <w:rsid w:val="00062C56"/>
    <w:rsid w:val="00067F93"/>
    <w:rsid w:val="00076A1C"/>
    <w:rsid w:val="000776A3"/>
    <w:rsid w:val="00084E31"/>
    <w:rsid w:val="000855B8"/>
    <w:rsid w:val="00090FD9"/>
    <w:rsid w:val="00096195"/>
    <w:rsid w:val="00096494"/>
    <w:rsid w:val="000976A7"/>
    <w:rsid w:val="000A39FD"/>
    <w:rsid w:val="000A3EF7"/>
    <w:rsid w:val="000A6CF0"/>
    <w:rsid w:val="000B7476"/>
    <w:rsid w:val="000C1691"/>
    <w:rsid w:val="000C7E55"/>
    <w:rsid w:val="000D1E4F"/>
    <w:rsid w:val="000D1FE2"/>
    <w:rsid w:val="000D347D"/>
    <w:rsid w:val="000E2C05"/>
    <w:rsid w:val="000E2CD0"/>
    <w:rsid w:val="000E7F43"/>
    <w:rsid w:val="000F7006"/>
    <w:rsid w:val="001003E2"/>
    <w:rsid w:val="00101AB6"/>
    <w:rsid w:val="00116D6F"/>
    <w:rsid w:val="00117880"/>
    <w:rsid w:val="00130C0F"/>
    <w:rsid w:val="00137102"/>
    <w:rsid w:val="001378C6"/>
    <w:rsid w:val="0014051E"/>
    <w:rsid w:val="001453E4"/>
    <w:rsid w:val="00150A62"/>
    <w:rsid w:val="00162083"/>
    <w:rsid w:val="001665CC"/>
    <w:rsid w:val="00166D9A"/>
    <w:rsid w:val="0016763D"/>
    <w:rsid w:val="00170283"/>
    <w:rsid w:val="00174309"/>
    <w:rsid w:val="001743C0"/>
    <w:rsid w:val="00177F4F"/>
    <w:rsid w:val="001803EE"/>
    <w:rsid w:val="00180C9D"/>
    <w:rsid w:val="001822FD"/>
    <w:rsid w:val="00184159"/>
    <w:rsid w:val="00190BD7"/>
    <w:rsid w:val="001941F9"/>
    <w:rsid w:val="00194CDC"/>
    <w:rsid w:val="00194E8F"/>
    <w:rsid w:val="00195331"/>
    <w:rsid w:val="001962A2"/>
    <w:rsid w:val="001A0382"/>
    <w:rsid w:val="001A069F"/>
    <w:rsid w:val="001A127E"/>
    <w:rsid w:val="001A23CE"/>
    <w:rsid w:val="001A7969"/>
    <w:rsid w:val="001B0E30"/>
    <w:rsid w:val="001B531F"/>
    <w:rsid w:val="001B54B1"/>
    <w:rsid w:val="001C20B6"/>
    <w:rsid w:val="001C3CE5"/>
    <w:rsid w:val="001C5748"/>
    <w:rsid w:val="001C7447"/>
    <w:rsid w:val="001F1A9F"/>
    <w:rsid w:val="001F4CBB"/>
    <w:rsid w:val="001F5608"/>
    <w:rsid w:val="001F658D"/>
    <w:rsid w:val="001F6B1C"/>
    <w:rsid w:val="00204AD1"/>
    <w:rsid w:val="00206E12"/>
    <w:rsid w:val="00212DF0"/>
    <w:rsid w:val="00215E2F"/>
    <w:rsid w:val="002217F5"/>
    <w:rsid w:val="002228A1"/>
    <w:rsid w:val="0022348D"/>
    <w:rsid w:val="002264F0"/>
    <w:rsid w:val="00232B5C"/>
    <w:rsid w:val="00233EE7"/>
    <w:rsid w:val="0023565D"/>
    <w:rsid w:val="00236B6F"/>
    <w:rsid w:val="00237F33"/>
    <w:rsid w:val="00243252"/>
    <w:rsid w:val="00244BC4"/>
    <w:rsid w:val="002465D8"/>
    <w:rsid w:val="002537AF"/>
    <w:rsid w:val="00254D11"/>
    <w:rsid w:val="002560AC"/>
    <w:rsid w:val="002578A0"/>
    <w:rsid w:val="0026028D"/>
    <w:rsid w:val="0026106F"/>
    <w:rsid w:val="0026140F"/>
    <w:rsid w:val="00264E7F"/>
    <w:rsid w:val="00272E11"/>
    <w:rsid w:val="00274867"/>
    <w:rsid w:val="002756C1"/>
    <w:rsid w:val="002757C0"/>
    <w:rsid w:val="0028411B"/>
    <w:rsid w:val="00286903"/>
    <w:rsid w:val="00286B4D"/>
    <w:rsid w:val="00287F4A"/>
    <w:rsid w:val="0029284A"/>
    <w:rsid w:val="002A031F"/>
    <w:rsid w:val="002B7BBD"/>
    <w:rsid w:val="002B7EDE"/>
    <w:rsid w:val="002C0694"/>
    <w:rsid w:val="002C67CB"/>
    <w:rsid w:val="002D6C83"/>
    <w:rsid w:val="002E5636"/>
    <w:rsid w:val="002E6F26"/>
    <w:rsid w:val="002E7AC2"/>
    <w:rsid w:val="002F66F8"/>
    <w:rsid w:val="002F7208"/>
    <w:rsid w:val="00302559"/>
    <w:rsid w:val="00302C52"/>
    <w:rsid w:val="00304B7B"/>
    <w:rsid w:val="00310F00"/>
    <w:rsid w:val="00325E5B"/>
    <w:rsid w:val="0032651B"/>
    <w:rsid w:val="00333E8C"/>
    <w:rsid w:val="003377C3"/>
    <w:rsid w:val="00341E45"/>
    <w:rsid w:val="003420DD"/>
    <w:rsid w:val="0034643C"/>
    <w:rsid w:val="00347170"/>
    <w:rsid w:val="00347D99"/>
    <w:rsid w:val="00352FA3"/>
    <w:rsid w:val="0035570A"/>
    <w:rsid w:val="00355CBB"/>
    <w:rsid w:val="00360034"/>
    <w:rsid w:val="003665E6"/>
    <w:rsid w:val="00367C47"/>
    <w:rsid w:val="003713BD"/>
    <w:rsid w:val="003731B8"/>
    <w:rsid w:val="00380752"/>
    <w:rsid w:val="00381A14"/>
    <w:rsid w:val="0038723D"/>
    <w:rsid w:val="00387CD6"/>
    <w:rsid w:val="003A06E5"/>
    <w:rsid w:val="003A30B7"/>
    <w:rsid w:val="003A657B"/>
    <w:rsid w:val="003D2E2A"/>
    <w:rsid w:val="003D34B1"/>
    <w:rsid w:val="003D3D64"/>
    <w:rsid w:val="003D5D7E"/>
    <w:rsid w:val="003D621A"/>
    <w:rsid w:val="003D6999"/>
    <w:rsid w:val="003E05DB"/>
    <w:rsid w:val="003E206F"/>
    <w:rsid w:val="003E23BB"/>
    <w:rsid w:val="003E4E66"/>
    <w:rsid w:val="003E54B9"/>
    <w:rsid w:val="003E63B8"/>
    <w:rsid w:val="003F4A04"/>
    <w:rsid w:val="00400DF7"/>
    <w:rsid w:val="0040658F"/>
    <w:rsid w:val="00410862"/>
    <w:rsid w:val="004129B1"/>
    <w:rsid w:val="004169A9"/>
    <w:rsid w:val="004205C7"/>
    <w:rsid w:val="00427E93"/>
    <w:rsid w:val="00431D09"/>
    <w:rsid w:val="00442BB6"/>
    <w:rsid w:val="00450F10"/>
    <w:rsid w:val="004575ED"/>
    <w:rsid w:val="00472509"/>
    <w:rsid w:val="00473170"/>
    <w:rsid w:val="00476137"/>
    <w:rsid w:val="004870DF"/>
    <w:rsid w:val="00496E14"/>
    <w:rsid w:val="004A1C66"/>
    <w:rsid w:val="004A1F4A"/>
    <w:rsid w:val="004A30A3"/>
    <w:rsid w:val="004A4BB2"/>
    <w:rsid w:val="004A6145"/>
    <w:rsid w:val="004B04C9"/>
    <w:rsid w:val="004B27E3"/>
    <w:rsid w:val="004B6AC4"/>
    <w:rsid w:val="004B7773"/>
    <w:rsid w:val="004C52B3"/>
    <w:rsid w:val="004D1191"/>
    <w:rsid w:val="004E02DE"/>
    <w:rsid w:val="004E4E67"/>
    <w:rsid w:val="004E691B"/>
    <w:rsid w:val="004F441A"/>
    <w:rsid w:val="004F72A7"/>
    <w:rsid w:val="00504F05"/>
    <w:rsid w:val="005060FF"/>
    <w:rsid w:val="00511AE6"/>
    <w:rsid w:val="00516310"/>
    <w:rsid w:val="00522279"/>
    <w:rsid w:val="00524B3B"/>
    <w:rsid w:val="00526827"/>
    <w:rsid w:val="00532C82"/>
    <w:rsid w:val="00533217"/>
    <w:rsid w:val="00533307"/>
    <w:rsid w:val="0053407D"/>
    <w:rsid w:val="0053731E"/>
    <w:rsid w:val="00541271"/>
    <w:rsid w:val="0054273B"/>
    <w:rsid w:val="005457AC"/>
    <w:rsid w:val="005523C9"/>
    <w:rsid w:val="005634C3"/>
    <w:rsid w:val="00563ABE"/>
    <w:rsid w:val="00563B23"/>
    <w:rsid w:val="00567F27"/>
    <w:rsid w:val="00571D6B"/>
    <w:rsid w:val="005755D7"/>
    <w:rsid w:val="00577083"/>
    <w:rsid w:val="005770F2"/>
    <w:rsid w:val="00580F1A"/>
    <w:rsid w:val="00585637"/>
    <w:rsid w:val="005A01D3"/>
    <w:rsid w:val="005A1E0B"/>
    <w:rsid w:val="005A2A9D"/>
    <w:rsid w:val="005A362F"/>
    <w:rsid w:val="005A5515"/>
    <w:rsid w:val="005A7235"/>
    <w:rsid w:val="005B2BD4"/>
    <w:rsid w:val="005B66CC"/>
    <w:rsid w:val="005B6A59"/>
    <w:rsid w:val="005C077B"/>
    <w:rsid w:val="005C1215"/>
    <w:rsid w:val="005C2EB9"/>
    <w:rsid w:val="005C5076"/>
    <w:rsid w:val="005C7A10"/>
    <w:rsid w:val="005D0249"/>
    <w:rsid w:val="005D4346"/>
    <w:rsid w:val="005E0236"/>
    <w:rsid w:val="005E5513"/>
    <w:rsid w:val="005F2206"/>
    <w:rsid w:val="005F249F"/>
    <w:rsid w:val="005F375E"/>
    <w:rsid w:val="0060135C"/>
    <w:rsid w:val="00610D27"/>
    <w:rsid w:val="006117FF"/>
    <w:rsid w:val="006148EB"/>
    <w:rsid w:val="00624C2F"/>
    <w:rsid w:val="006261CA"/>
    <w:rsid w:val="006262D0"/>
    <w:rsid w:val="00630BA5"/>
    <w:rsid w:val="0064103B"/>
    <w:rsid w:val="006434A7"/>
    <w:rsid w:val="00647603"/>
    <w:rsid w:val="00651602"/>
    <w:rsid w:val="00651D19"/>
    <w:rsid w:val="00653E1B"/>
    <w:rsid w:val="0065739B"/>
    <w:rsid w:val="006703FD"/>
    <w:rsid w:val="006755E7"/>
    <w:rsid w:val="006759F9"/>
    <w:rsid w:val="0068317A"/>
    <w:rsid w:val="0069037F"/>
    <w:rsid w:val="0069498A"/>
    <w:rsid w:val="00697136"/>
    <w:rsid w:val="006A2958"/>
    <w:rsid w:val="006A3A8A"/>
    <w:rsid w:val="006C0C5F"/>
    <w:rsid w:val="006E2BE2"/>
    <w:rsid w:val="006E5D34"/>
    <w:rsid w:val="006F574B"/>
    <w:rsid w:val="00701632"/>
    <w:rsid w:val="00705517"/>
    <w:rsid w:val="007055B0"/>
    <w:rsid w:val="007118D0"/>
    <w:rsid w:val="007163CD"/>
    <w:rsid w:val="007177BF"/>
    <w:rsid w:val="00717C51"/>
    <w:rsid w:val="00725110"/>
    <w:rsid w:val="00725BF7"/>
    <w:rsid w:val="007307AD"/>
    <w:rsid w:val="007400F3"/>
    <w:rsid w:val="0074684C"/>
    <w:rsid w:val="00751312"/>
    <w:rsid w:val="007514FD"/>
    <w:rsid w:val="00752813"/>
    <w:rsid w:val="00754157"/>
    <w:rsid w:val="00762816"/>
    <w:rsid w:val="007650B8"/>
    <w:rsid w:val="007719D9"/>
    <w:rsid w:val="00794967"/>
    <w:rsid w:val="007955AC"/>
    <w:rsid w:val="007977A3"/>
    <w:rsid w:val="007A1FD1"/>
    <w:rsid w:val="007A53C8"/>
    <w:rsid w:val="007B04A4"/>
    <w:rsid w:val="007B061C"/>
    <w:rsid w:val="007B41FE"/>
    <w:rsid w:val="007B45F5"/>
    <w:rsid w:val="007B6F23"/>
    <w:rsid w:val="007C0C74"/>
    <w:rsid w:val="007C37DA"/>
    <w:rsid w:val="007C6181"/>
    <w:rsid w:val="007C739F"/>
    <w:rsid w:val="007D4F31"/>
    <w:rsid w:val="007E118A"/>
    <w:rsid w:val="007E3D41"/>
    <w:rsid w:val="007E5DC1"/>
    <w:rsid w:val="007F4DBD"/>
    <w:rsid w:val="0080057B"/>
    <w:rsid w:val="00801692"/>
    <w:rsid w:val="00805376"/>
    <w:rsid w:val="008053AD"/>
    <w:rsid w:val="00805530"/>
    <w:rsid w:val="00806631"/>
    <w:rsid w:val="00806F68"/>
    <w:rsid w:val="00815A89"/>
    <w:rsid w:val="00817E45"/>
    <w:rsid w:val="0082142C"/>
    <w:rsid w:val="00831A2B"/>
    <w:rsid w:val="00835E0D"/>
    <w:rsid w:val="00837715"/>
    <w:rsid w:val="00840972"/>
    <w:rsid w:val="0084220B"/>
    <w:rsid w:val="008431B1"/>
    <w:rsid w:val="00843A7A"/>
    <w:rsid w:val="008442C1"/>
    <w:rsid w:val="008466A3"/>
    <w:rsid w:val="00851C0D"/>
    <w:rsid w:val="00860E1E"/>
    <w:rsid w:val="00862A93"/>
    <w:rsid w:val="008717F2"/>
    <w:rsid w:val="008937AF"/>
    <w:rsid w:val="008A0C96"/>
    <w:rsid w:val="008A740C"/>
    <w:rsid w:val="008D1E40"/>
    <w:rsid w:val="008D1E8E"/>
    <w:rsid w:val="008D6894"/>
    <w:rsid w:val="008D7F70"/>
    <w:rsid w:val="008E7E7E"/>
    <w:rsid w:val="008F1350"/>
    <w:rsid w:val="008F345A"/>
    <w:rsid w:val="008F388A"/>
    <w:rsid w:val="008F633A"/>
    <w:rsid w:val="00902D15"/>
    <w:rsid w:val="00905B82"/>
    <w:rsid w:val="009062AA"/>
    <w:rsid w:val="00907EF0"/>
    <w:rsid w:val="00910264"/>
    <w:rsid w:val="009118C4"/>
    <w:rsid w:val="0091476A"/>
    <w:rsid w:val="00914BDE"/>
    <w:rsid w:val="00914E06"/>
    <w:rsid w:val="009169D1"/>
    <w:rsid w:val="00920633"/>
    <w:rsid w:val="00921223"/>
    <w:rsid w:val="009253D1"/>
    <w:rsid w:val="00945626"/>
    <w:rsid w:val="009460D6"/>
    <w:rsid w:val="00946F1B"/>
    <w:rsid w:val="009503BE"/>
    <w:rsid w:val="009606F8"/>
    <w:rsid w:val="00961715"/>
    <w:rsid w:val="00962E56"/>
    <w:rsid w:val="00966B33"/>
    <w:rsid w:val="00967FBE"/>
    <w:rsid w:val="00971541"/>
    <w:rsid w:val="00971617"/>
    <w:rsid w:val="0097360F"/>
    <w:rsid w:val="00974F77"/>
    <w:rsid w:val="00976D46"/>
    <w:rsid w:val="0098493C"/>
    <w:rsid w:val="00984F8D"/>
    <w:rsid w:val="009859E3"/>
    <w:rsid w:val="00994EC8"/>
    <w:rsid w:val="009A1CD9"/>
    <w:rsid w:val="009A594E"/>
    <w:rsid w:val="009A6A08"/>
    <w:rsid w:val="009B7D7C"/>
    <w:rsid w:val="009C5F1B"/>
    <w:rsid w:val="009D16F8"/>
    <w:rsid w:val="009D38EC"/>
    <w:rsid w:val="009D5051"/>
    <w:rsid w:val="009D77BE"/>
    <w:rsid w:val="009E0236"/>
    <w:rsid w:val="009E02C6"/>
    <w:rsid w:val="009E19DB"/>
    <w:rsid w:val="009E1C58"/>
    <w:rsid w:val="009E26EC"/>
    <w:rsid w:val="009F0E44"/>
    <w:rsid w:val="009F175C"/>
    <w:rsid w:val="009F4AC2"/>
    <w:rsid w:val="009F5311"/>
    <w:rsid w:val="009F7640"/>
    <w:rsid w:val="00A00686"/>
    <w:rsid w:val="00A03BB5"/>
    <w:rsid w:val="00A07D26"/>
    <w:rsid w:val="00A1091C"/>
    <w:rsid w:val="00A12787"/>
    <w:rsid w:val="00A1297A"/>
    <w:rsid w:val="00A20935"/>
    <w:rsid w:val="00A22E68"/>
    <w:rsid w:val="00A2704C"/>
    <w:rsid w:val="00A3119F"/>
    <w:rsid w:val="00A40882"/>
    <w:rsid w:val="00A42A47"/>
    <w:rsid w:val="00A469BF"/>
    <w:rsid w:val="00A52D57"/>
    <w:rsid w:val="00A577D8"/>
    <w:rsid w:val="00A60195"/>
    <w:rsid w:val="00A622D6"/>
    <w:rsid w:val="00A62C09"/>
    <w:rsid w:val="00A65D8A"/>
    <w:rsid w:val="00A76BC1"/>
    <w:rsid w:val="00A76E5F"/>
    <w:rsid w:val="00A77FDD"/>
    <w:rsid w:val="00A8095F"/>
    <w:rsid w:val="00A8107C"/>
    <w:rsid w:val="00A92FB6"/>
    <w:rsid w:val="00A94AFA"/>
    <w:rsid w:val="00A97EDD"/>
    <w:rsid w:val="00AA476A"/>
    <w:rsid w:val="00AA6295"/>
    <w:rsid w:val="00AB0221"/>
    <w:rsid w:val="00AB1437"/>
    <w:rsid w:val="00AB146B"/>
    <w:rsid w:val="00AB2DE7"/>
    <w:rsid w:val="00AC349F"/>
    <w:rsid w:val="00AC6704"/>
    <w:rsid w:val="00AC6C53"/>
    <w:rsid w:val="00AC7763"/>
    <w:rsid w:val="00AD0449"/>
    <w:rsid w:val="00AD0CE3"/>
    <w:rsid w:val="00AD1C58"/>
    <w:rsid w:val="00AD2040"/>
    <w:rsid w:val="00AD3CA6"/>
    <w:rsid w:val="00AD4480"/>
    <w:rsid w:val="00AD578C"/>
    <w:rsid w:val="00AE0F50"/>
    <w:rsid w:val="00AE2D5F"/>
    <w:rsid w:val="00AE3739"/>
    <w:rsid w:val="00AE4C86"/>
    <w:rsid w:val="00AE5DC6"/>
    <w:rsid w:val="00AE6329"/>
    <w:rsid w:val="00AE6A8E"/>
    <w:rsid w:val="00AF085A"/>
    <w:rsid w:val="00AF0F37"/>
    <w:rsid w:val="00AF493F"/>
    <w:rsid w:val="00AF703B"/>
    <w:rsid w:val="00B022F7"/>
    <w:rsid w:val="00B031B0"/>
    <w:rsid w:val="00B034E5"/>
    <w:rsid w:val="00B11BB6"/>
    <w:rsid w:val="00B153A8"/>
    <w:rsid w:val="00B234D1"/>
    <w:rsid w:val="00B24B9B"/>
    <w:rsid w:val="00B260D1"/>
    <w:rsid w:val="00B27471"/>
    <w:rsid w:val="00B307E5"/>
    <w:rsid w:val="00B31109"/>
    <w:rsid w:val="00B33877"/>
    <w:rsid w:val="00B348E5"/>
    <w:rsid w:val="00B3722B"/>
    <w:rsid w:val="00B42629"/>
    <w:rsid w:val="00B42AEE"/>
    <w:rsid w:val="00B44AD4"/>
    <w:rsid w:val="00B476F5"/>
    <w:rsid w:val="00B51A0A"/>
    <w:rsid w:val="00B51CA2"/>
    <w:rsid w:val="00B51EBD"/>
    <w:rsid w:val="00B62954"/>
    <w:rsid w:val="00B64D62"/>
    <w:rsid w:val="00B70D9D"/>
    <w:rsid w:val="00B71165"/>
    <w:rsid w:val="00B73283"/>
    <w:rsid w:val="00B739F6"/>
    <w:rsid w:val="00B8108D"/>
    <w:rsid w:val="00B81125"/>
    <w:rsid w:val="00B93E74"/>
    <w:rsid w:val="00BA044E"/>
    <w:rsid w:val="00BA2611"/>
    <w:rsid w:val="00BA79CB"/>
    <w:rsid w:val="00BB539C"/>
    <w:rsid w:val="00BC1C9B"/>
    <w:rsid w:val="00BC221E"/>
    <w:rsid w:val="00BC4612"/>
    <w:rsid w:val="00BD4566"/>
    <w:rsid w:val="00BD4A00"/>
    <w:rsid w:val="00BD58F6"/>
    <w:rsid w:val="00BD6535"/>
    <w:rsid w:val="00BD68A9"/>
    <w:rsid w:val="00BE3BAA"/>
    <w:rsid w:val="00BF0BB9"/>
    <w:rsid w:val="00BF16C9"/>
    <w:rsid w:val="00BF1C6F"/>
    <w:rsid w:val="00BF2C81"/>
    <w:rsid w:val="00C05533"/>
    <w:rsid w:val="00C0587F"/>
    <w:rsid w:val="00C06579"/>
    <w:rsid w:val="00C10343"/>
    <w:rsid w:val="00C1085C"/>
    <w:rsid w:val="00C11A20"/>
    <w:rsid w:val="00C16B7F"/>
    <w:rsid w:val="00C215BF"/>
    <w:rsid w:val="00C26489"/>
    <w:rsid w:val="00C27AEB"/>
    <w:rsid w:val="00C36C84"/>
    <w:rsid w:val="00C44FE4"/>
    <w:rsid w:val="00C570BC"/>
    <w:rsid w:val="00C60279"/>
    <w:rsid w:val="00C655B9"/>
    <w:rsid w:val="00C72795"/>
    <w:rsid w:val="00C72EA5"/>
    <w:rsid w:val="00C7620C"/>
    <w:rsid w:val="00C762FC"/>
    <w:rsid w:val="00C821E7"/>
    <w:rsid w:val="00C8236E"/>
    <w:rsid w:val="00C84332"/>
    <w:rsid w:val="00C85AF9"/>
    <w:rsid w:val="00C8623F"/>
    <w:rsid w:val="00C86400"/>
    <w:rsid w:val="00C86D5D"/>
    <w:rsid w:val="00C875BE"/>
    <w:rsid w:val="00C91D46"/>
    <w:rsid w:val="00C921DE"/>
    <w:rsid w:val="00C970FC"/>
    <w:rsid w:val="00CA0221"/>
    <w:rsid w:val="00CA04B3"/>
    <w:rsid w:val="00CA0CA2"/>
    <w:rsid w:val="00CA34FD"/>
    <w:rsid w:val="00CA36B1"/>
    <w:rsid w:val="00CA4E99"/>
    <w:rsid w:val="00CA53EE"/>
    <w:rsid w:val="00CB0D89"/>
    <w:rsid w:val="00CB4F36"/>
    <w:rsid w:val="00CB50EE"/>
    <w:rsid w:val="00CC35DE"/>
    <w:rsid w:val="00CC3DE1"/>
    <w:rsid w:val="00CC4FB5"/>
    <w:rsid w:val="00CC74F3"/>
    <w:rsid w:val="00CD594D"/>
    <w:rsid w:val="00CE168A"/>
    <w:rsid w:val="00CE7FA2"/>
    <w:rsid w:val="00D00162"/>
    <w:rsid w:val="00D032FE"/>
    <w:rsid w:val="00D1110A"/>
    <w:rsid w:val="00D13262"/>
    <w:rsid w:val="00D14A9F"/>
    <w:rsid w:val="00D15690"/>
    <w:rsid w:val="00D15FC2"/>
    <w:rsid w:val="00D17AEE"/>
    <w:rsid w:val="00D24759"/>
    <w:rsid w:val="00D2483D"/>
    <w:rsid w:val="00D273D5"/>
    <w:rsid w:val="00D306B1"/>
    <w:rsid w:val="00D359FC"/>
    <w:rsid w:val="00D365AE"/>
    <w:rsid w:val="00D4200A"/>
    <w:rsid w:val="00D43502"/>
    <w:rsid w:val="00D473B6"/>
    <w:rsid w:val="00D5212F"/>
    <w:rsid w:val="00D64F90"/>
    <w:rsid w:val="00D713C2"/>
    <w:rsid w:val="00D806CB"/>
    <w:rsid w:val="00D830FD"/>
    <w:rsid w:val="00D858C6"/>
    <w:rsid w:val="00D91DB6"/>
    <w:rsid w:val="00D9340F"/>
    <w:rsid w:val="00DA03FC"/>
    <w:rsid w:val="00DA2FEB"/>
    <w:rsid w:val="00DB295E"/>
    <w:rsid w:val="00DB3033"/>
    <w:rsid w:val="00DB66E7"/>
    <w:rsid w:val="00DB69F1"/>
    <w:rsid w:val="00DE506C"/>
    <w:rsid w:val="00DE6EE9"/>
    <w:rsid w:val="00DF13DD"/>
    <w:rsid w:val="00DF65CC"/>
    <w:rsid w:val="00DF6764"/>
    <w:rsid w:val="00DF6D2A"/>
    <w:rsid w:val="00E01D5F"/>
    <w:rsid w:val="00E05A23"/>
    <w:rsid w:val="00E07264"/>
    <w:rsid w:val="00E1158C"/>
    <w:rsid w:val="00E137F9"/>
    <w:rsid w:val="00E13994"/>
    <w:rsid w:val="00E21466"/>
    <w:rsid w:val="00E23529"/>
    <w:rsid w:val="00E2626C"/>
    <w:rsid w:val="00E26604"/>
    <w:rsid w:val="00E329F4"/>
    <w:rsid w:val="00E35257"/>
    <w:rsid w:val="00E44FBE"/>
    <w:rsid w:val="00E452A9"/>
    <w:rsid w:val="00E469F8"/>
    <w:rsid w:val="00E46FB8"/>
    <w:rsid w:val="00E54CA5"/>
    <w:rsid w:val="00E5525D"/>
    <w:rsid w:val="00E63867"/>
    <w:rsid w:val="00E64D48"/>
    <w:rsid w:val="00E651D7"/>
    <w:rsid w:val="00E6628C"/>
    <w:rsid w:val="00E70405"/>
    <w:rsid w:val="00E706B0"/>
    <w:rsid w:val="00E70AB8"/>
    <w:rsid w:val="00E70EC2"/>
    <w:rsid w:val="00E73BFD"/>
    <w:rsid w:val="00E81977"/>
    <w:rsid w:val="00E87D55"/>
    <w:rsid w:val="00E90DAB"/>
    <w:rsid w:val="00E97F99"/>
    <w:rsid w:val="00EA1A82"/>
    <w:rsid w:val="00EA3F85"/>
    <w:rsid w:val="00EC615E"/>
    <w:rsid w:val="00EC6606"/>
    <w:rsid w:val="00ED209A"/>
    <w:rsid w:val="00ED2F97"/>
    <w:rsid w:val="00ED3616"/>
    <w:rsid w:val="00ED626B"/>
    <w:rsid w:val="00ED71A7"/>
    <w:rsid w:val="00EF0AA0"/>
    <w:rsid w:val="00EF4BDA"/>
    <w:rsid w:val="00EF58E1"/>
    <w:rsid w:val="00F00B16"/>
    <w:rsid w:val="00F02DE4"/>
    <w:rsid w:val="00F052FA"/>
    <w:rsid w:val="00F131D3"/>
    <w:rsid w:val="00F14F00"/>
    <w:rsid w:val="00F151BF"/>
    <w:rsid w:val="00F20BA5"/>
    <w:rsid w:val="00F20DA9"/>
    <w:rsid w:val="00F2319D"/>
    <w:rsid w:val="00F319C3"/>
    <w:rsid w:val="00F34372"/>
    <w:rsid w:val="00F36076"/>
    <w:rsid w:val="00F36C7D"/>
    <w:rsid w:val="00F36DD3"/>
    <w:rsid w:val="00F406DA"/>
    <w:rsid w:val="00F43538"/>
    <w:rsid w:val="00F50E3C"/>
    <w:rsid w:val="00F51134"/>
    <w:rsid w:val="00F52556"/>
    <w:rsid w:val="00F57376"/>
    <w:rsid w:val="00F575DB"/>
    <w:rsid w:val="00F6181D"/>
    <w:rsid w:val="00F6369C"/>
    <w:rsid w:val="00F660A9"/>
    <w:rsid w:val="00F67168"/>
    <w:rsid w:val="00F77971"/>
    <w:rsid w:val="00F83F95"/>
    <w:rsid w:val="00F847A4"/>
    <w:rsid w:val="00F858B4"/>
    <w:rsid w:val="00F860B7"/>
    <w:rsid w:val="00F8619A"/>
    <w:rsid w:val="00F91547"/>
    <w:rsid w:val="00F9180E"/>
    <w:rsid w:val="00F939EF"/>
    <w:rsid w:val="00F960DB"/>
    <w:rsid w:val="00F96197"/>
    <w:rsid w:val="00FA043A"/>
    <w:rsid w:val="00FA42B0"/>
    <w:rsid w:val="00FA5FE0"/>
    <w:rsid w:val="00FA6521"/>
    <w:rsid w:val="00FB3912"/>
    <w:rsid w:val="00FC699E"/>
    <w:rsid w:val="00FC7C6D"/>
    <w:rsid w:val="00FD1693"/>
    <w:rsid w:val="00FD322B"/>
    <w:rsid w:val="00FD3B1A"/>
    <w:rsid w:val="00FD4828"/>
    <w:rsid w:val="00FD4AD6"/>
    <w:rsid w:val="00FD6C9F"/>
    <w:rsid w:val="00FD6EFC"/>
    <w:rsid w:val="00FE4DFE"/>
    <w:rsid w:val="00FF15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0405B"/>
  <w15:chartTrackingRefBased/>
  <w15:docId w15:val="{6D13F360-916B-49F8-B064-06677E75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2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42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42B0"/>
  </w:style>
  <w:style w:type="paragraph" w:styleId="Piedepgina">
    <w:name w:val="footer"/>
    <w:basedOn w:val="Normal"/>
    <w:link w:val="PiedepginaCar"/>
    <w:uiPriority w:val="99"/>
    <w:unhideWhenUsed/>
    <w:rsid w:val="00FA42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42B0"/>
  </w:style>
  <w:style w:type="table" w:styleId="Tablaconcuadrcula">
    <w:name w:val="Table Grid"/>
    <w:basedOn w:val="Tablanormal"/>
    <w:uiPriority w:val="39"/>
    <w:rsid w:val="00FA4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 Car Car,Ca,f,ft,Texto nota pie2"/>
    <w:basedOn w:val="Normal"/>
    <w:link w:val="TextonotapieCar"/>
    <w:uiPriority w:val="99"/>
    <w:unhideWhenUsed/>
    <w:qFormat/>
    <w:rsid w:val="007307A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 Car Car Car,Ca Car"/>
    <w:basedOn w:val="Fuentedeprrafopredeter"/>
    <w:link w:val="Textonotapie"/>
    <w:uiPriority w:val="99"/>
    <w:rsid w:val="007307AD"/>
    <w:rPr>
      <w:sz w:val="20"/>
      <w:szCs w:val="20"/>
    </w:rPr>
  </w:style>
  <w:style w:type="character" w:styleId="Refdenotaalpie">
    <w:name w:val="footnote reference"/>
    <w:basedOn w:val="Fuentedeprrafopredeter"/>
    <w:uiPriority w:val="99"/>
    <w:semiHidden/>
    <w:unhideWhenUsed/>
    <w:rsid w:val="007307AD"/>
    <w:rPr>
      <w:vertAlign w:val="superscript"/>
    </w:rPr>
  </w:style>
  <w:style w:type="character" w:styleId="Hipervnculo">
    <w:name w:val="Hyperlink"/>
    <w:basedOn w:val="Fuentedeprrafopredeter"/>
    <w:uiPriority w:val="99"/>
    <w:unhideWhenUsed/>
    <w:rsid w:val="007307AD"/>
    <w:rPr>
      <w:color w:val="0563C1" w:themeColor="hyperlink"/>
      <w:u w:val="single"/>
    </w:rPr>
  </w:style>
  <w:style w:type="paragraph" w:styleId="Textodeglobo">
    <w:name w:val="Balloon Text"/>
    <w:basedOn w:val="Normal"/>
    <w:link w:val="TextodegloboCar"/>
    <w:uiPriority w:val="99"/>
    <w:semiHidden/>
    <w:unhideWhenUsed/>
    <w:rsid w:val="001743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309"/>
    <w:rPr>
      <w:rFonts w:ascii="Segoe UI" w:hAnsi="Segoe UI" w:cs="Segoe UI"/>
      <w:sz w:val="18"/>
      <w:szCs w:val="18"/>
    </w:rPr>
  </w:style>
  <w:style w:type="character" w:styleId="Nmerodepgina">
    <w:name w:val="page number"/>
    <w:basedOn w:val="Fuentedeprrafopredeter"/>
    <w:uiPriority w:val="99"/>
    <w:unhideWhenUsed/>
    <w:rsid w:val="00563B23"/>
  </w:style>
  <w:style w:type="character" w:styleId="Mencinsinresolver">
    <w:name w:val="Unresolved Mention"/>
    <w:basedOn w:val="Fuentedeprrafopredeter"/>
    <w:uiPriority w:val="99"/>
    <w:semiHidden/>
    <w:unhideWhenUsed/>
    <w:rsid w:val="004B6AC4"/>
    <w:rPr>
      <w:color w:val="605E5C"/>
      <w:shd w:val="clear" w:color="auto" w:fill="E1DFDD"/>
    </w:rPr>
  </w:style>
  <w:style w:type="paragraph" w:customStyle="1" w:styleId="Default">
    <w:name w:val="Default"/>
    <w:rsid w:val="008431B1"/>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717F2"/>
    <w:pPr>
      <w:ind w:left="720"/>
      <w:contextualSpacing/>
    </w:pPr>
  </w:style>
  <w:style w:type="character" w:styleId="Hipervnculovisitado">
    <w:name w:val="FollowedHyperlink"/>
    <w:basedOn w:val="Fuentedeprrafopredeter"/>
    <w:uiPriority w:val="99"/>
    <w:semiHidden/>
    <w:unhideWhenUsed/>
    <w:rsid w:val="00244BC4"/>
    <w:rPr>
      <w:color w:val="954F72" w:themeColor="followedHyperlink"/>
      <w:u w:val="single"/>
    </w:rPr>
  </w:style>
  <w:style w:type="character" w:styleId="Textoennegrita">
    <w:name w:val="Strong"/>
    <w:basedOn w:val="Fuentedeprrafopredeter"/>
    <w:uiPriority w:val="22"/>
    <w:qFormat/>
    <w:rsid w:val="00341E45"/>
    <w:rPr>
      <w:b/>
      <w:bCs/>
    </w:rPr>
  </w:style>
  <w:style w:type="character" w:styleId="nfasis">
    <w:name w:val="Emphasis"/>
    <w:basedOn w:val="Fuentedeprrafopredeter"/>
    <w:uiPriority w:val="20"/>
    <w:qFormat/>
    <w:rsid w:val="00341E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18443">
      <w:bodyDiv w:val="1"/>
      <w:marLeft w:val="0"/>
      <w:marRight w:val="0"/>
      <w:marTop w:val="0"/>
      <w:marBottom w:val="0"/>
      <w:divBdr>
        <w:top w:val="none" w:sz="0" w:space="0" w:color="auto"/>
        <w:left w:val="none" w:sz="0" w:space="0" w:color="auto"/>
        <w:bottom w:val="none" w:sz="0" w:space="0" w:color="auto"/>
        <w:right w:val="none" w:sz="0" w:space="0" w:color="auto"/>
      </w:divBdr>
    </w:div>
    <w:div w:id="1056706633">
      <w:bodyDiv w:val="1"/>
      <w:marLeft w:val="0"/>
      <w:marRight w:val="0"/>
      <w:marTop w:val="0"/>
      <w:marBottom w:val="0"/>
      <w:divBdr>
        <w:top w:val="none" w:sz="0" w:space="0" w:color="auto"/>
        <w:left w:val="none" w:sz="0" w:space="0" w:color="auto"/>
        <w:bottom w:val="none" w:sz="0" w:space="0" w:color="auto"/>
        <w:right w:val="none" w:sz="0" w:space="0" w:color="auto"/>
      </w:divBdr>
    </w:div>
    <w:div w:id="1429540828">
      <w:bodyDiv w:val="1"/>
      <w:marLeft w:val="0"/>
      <w:marRight w:val="0"/>
      <w:marTop w:val="0"/>
      <w:marBottom w:val="0"/>
      <w:divBdr>
        <w:top w:val="none" w:sz="0" w:space="0" w:color="auto"/>
        <w:left w:val="none" w:sz="0" w:space="0" w:color="auto"/>
        <w:bottom w:val="none" w:sz="0" w:space="0" w:color="auto"/>
        <w:right w:val="none" w:sz="0" w:space="0" w:color="auto"/>
      </w:divBdr>
    </w:div>
    <w:div w:id="194919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reo%20electr&#243;nico:%20snarvaez@shd.gov.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morales@shd.gov.co" TargetMode="External"/><Relationship Id="rId4" Type="http://schemas.openxmlformats.org/officeDocument/2006/relationships/settings" Target="settings.xml"/><Relationship Id="rId9" Type="http://schemas.openxmlformats.org/officeDocument/2006/relationships/hyperlink" Target="mailto:lpazos@shd.gov.c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16C73-2236-493A-93BB-B8C426CEF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2446</Words>
  <Characters>13458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Alejandro Briñez Olaya</dc:creator>
  <cp:keywords/>
  <dc:description/>
  <cp:lastModifiedBy>Clara Lucia Morales Posso</cp:lastModifiedBy>
  <cp:revision>2</cp:revision>
  <dcterms:created xsi:type="dcterms:W3CDTF">2022-09-28T15:32:00Z</dcterms:created>
  <dcterms:modified xsi:type="dcterms:W3CDTF">2022-09-28T15:32:00Z</dcterms:modified>
</cp:coreProperties>
</file>