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3EA7" w14:textId="77777777" w:rsidR="00FA42B0" w:rsidRPr="0018634D" w:rsidRDefault="00FA42B0" w:rsidP="007101A1">
      <w:pPr>
        <w:spacing w:after="0" w:line="240" w:lineRule="auto"/>
        <w:ind w:right="-568"/>
        <w:jc w:val="both"/>
        <w:rPr>
          <w:rFonts w:ascii="Arial" w:hAnsi="Arial" w:cs="Arial"/>
          <w:sz w:val="24"/>
          <w:szCs w:val="24"/>
        </w:rPr>
      </w:pPr>
    </w:p>
    <w:p w14:paraId="5CB102BB" w14:textId="77777777" w:rsidR="00FA42B0" w:rsidRPr="0018634D" w:rsidRDefault="00FA42B0" w:rsidP="007101A1">
      <w:pPr>
        <w:spacing w:after="0" w:line="240" w:lineRule="auto"/>
        <w:ind w:right="-568"/>
        <w:jc w:val="both"/>
        <w:rPr>
          <w:rFonts w:ascii="Arial" w:hAnsi="Arial" w:cs="Arial"/>
          <w:sz w:val="24"/>
          <w:szCs w:val="24"/>
        </w:rPr>
      </w:pPr>
    </w:p>
    <w:p w14:paraId="0B3A50FD" w14:textId="77777777" w:rsidR="00A17D79" w:rsidRPr="0018634D" w:rsidRDefault="00A17D79" w:rsidP="007101A1">
      <w:pPr>
        <w:spacing w:after="0" w:line="240" w:lineRule="auto"/>
        <w:ind w:right="-568"/>
        <w:jc w:val="both"/>
        <w:rPr>
          <w:rFonts w:ascii="Arial" w:hAnsi="Arial" w:cs="Arial"/>
          <w:sz w:val="24"/>
          <w:szCs w:val="24"/>
        </w:rPr>
      </w:pPr>
    </w:p>
    <w:p w14:paraId="0DC29CA0" w14:textId="62845EEB" w:rsidR="00FA42B0" w:rsidRPr="0018634D" w:rsidRDefault="00FA42B0" w:rsidP="007101A1">
      <w:pPr>
        <w:spacing w:after="0" w:line="240" w:lineRule="auto"/>
        <w:ind w:right="-568"/>
        <w:jc w:val="both"/>
        <w:rPr>
          <w:rFonts w:ascii="Arial" w:hAnsi="Arial" w:cs="Arial"/>
          <w:sz w:val="24"/>
          <w:szCs w:val="24"/>
        </w:rPr>
      </w:pPr>
      <w:r w:rsidRPr="0018634D">
        <w:rPr>
          <w:rFonts w:ascii="Arial" w:hAnsi="Arial" w:cs="Arial"/>
          <w:sz w:val="24"/>
          <w:szCs w:val="24"/>
        </w:rPr>
        <w:t>Doctor:</w:t>
      </w:r>
    </w:p>
    <w:p w14:paraId="7B71A5B0" w14:textId="64D206B2" w:rsidR="00D17AEE" w:rsidRPr="0018634D" w:rsidRDefault="00EA69D2" w:rsidP="007101A1">
      <w:pPr>
        <w:spacing w:after="0" w:line="240" w:lineRule="auto"/>
        <w:ind w:right="-568"/>
        <w:jc w:val="both"/>
        <w:rPr>
          <w:rFonts w:ascii="Arial" w:hAnsi="Arial" w:cs="Arial"/>
          <w:b/>
          <w:bCs/>
          <w:sz w:val="24"/>
          <w:szCs w:val="24"/>
        </w:rPr>
      </w:pPr>
      <w:r w:rsidRPr="0018634D">
        <w:rPr>
          <w:rFonts w:ascii="Arial" w:hAnsi="Arial" w:cs="Arial"/>
          <w:b/>
          <w:bCs/>
          <w:sz w:val="24"/>
          <w:szCs w:val="24"/>
        </w:rPr>
        <w:t>N</w:t>
      </w:r>
      <w:r w:rsidR="00C00712" w:rsidRPr="0018634D">
        <w:rPr>
          <w:rFonts w:ascii="Arial" w:hAnsi="Arial" w:cs="Arial"/>
          <w:b/>
          <w:bCs/>
          <w:sz w:val="24"/>
          <w:szCs w:val="24"/>
        </w:rPr>
        <w:t>E</w:t>
      </w:r>
      <w:r w:rsidRPr="0018634D">
        <w:rPr>
          <w:rFonts w:ascii="Arial" w:hAnsi="Arial" w:cs="Arial"/>
          <w:b/>
          <w:bCs/>
          <w:sz w:val="24"/>
          <w:szCs w:val="24"/>
        </w:rPr>
        <w:t>STOR RA</w:t>
      </w:r>
      <w:r w:rsidR="00C00712" w:rsidRPr="0018634D">
        <w:rPr>
          <w:rFonts w:ascii="Arial" w:hAnsi="Arial" w:cs="Arial"/>
          <w:b/>
          <w:bCs/>
          <w:sz w:val="24"/>
          <w:szCs w:val="24"/>
        </w:rPr>
        <w:t>U</w:t>
      </w:r>
      <w:r w:rsidRPr="0018634D">
        <w:rPr>
          <w:rFonts w:ascii="Arial" w:hAnsi="Arial" w:cs="Arial"/>
          <w:b/>
          <w:bCs/>
          <w:sz w:val="24"/>
          <w:szCs w:val="24"/>
        </w:rPr>
        <w:t>L HERMINDA GÓMEZ</w:t>
      </w:r>
    </w:p>
    <w:p w14:paraId="4B1034C2" w14:textId="77777777" w:rsidR="00A10315" w:rsidRPr="0018634D" w:rsidRDefault="00A10315" w:rsidP="007101A1">
      <w:pPr>
        <w:spacing w:after="0" w:line="240" w:lineRule="auto"/>
        <w:ind w:right="-568"/>
        <w:jc w:val="both"/>
        <w:rPr>
          <w:rFonts w:ascii="Arial" w:hAnsi="Arial" w:cs="Arial"/>
          <w:sz w:val="24"/>
          <w:szCs w:val="24"/>
        </w:rPr>
      </w:pPr>
      <w:r w:rsidRPr="0018634D">
        <w:rPr>
          <w:rFonts w:ascii="Arial" w:hAnsi="Arial" w:cs="Arial"/>
          <w:sz w:val="24"/>
          <w:szCs w:val="24"/>
        </w:rPr>
        <w:t xml:space="preserve">Subdirector de Operación Financiera DDT-SDH </w:t>
      </w:r>
    </w:p>
    <w:p w14:paraId="7899CFCA" w14:textId="36D957F5" w:rsidR="0016763D" w:rsidRPr="0018634D" w:rsidRDefault="0016763D" w:rsidP="007101A1">
      <w:pPr>
        <w:spacing w:after="0" w:line="240" w:lineRule="auto"/>
        <w:ind w:right="-568"/>
        <w:jc w:val="both"/>
        <w:rPr>
          <w:rFonts w:ascii="Arial" w:hAnsi="Arial" w:cs="Arial"/>
          <w:sz w:val="24"/>
          <w:szCs w:val="24"/>
        </w:rPr>
      </w:pPr>
      <w:r w:rsidRPr="0018634D">
        <w:rPr>
          <w:rFonts w:ascii="Arial" w:hAnsi="Arial" w:cs="Arial"/>
          <w:sz w:val="24"/>
          <w:szCs w:val="24"/>
        </w:rPr>
        <w:t>Secretaría Distrital de Hacienda</w:t>
      </w:r>
    </w:p>
    <w:p w14:paraId="4FB55B3D" w14:textId="1DC2F422" w:rsidR="00FA42B0" w:rsidRPr="0018634D" w:rsidRDefault="00476137" w:rsidP="007101A1">
      <w:pPr>
        <w:spacing w:after="0" w:line="240" w:lineRule="auto"/>
        <w:ind w:right="-568"/>
        <w:jc w:val="both"/>
        <w:rPr>
          <w:rFonts w:ascii="Arial" w:hAnsi="Arial" w:cs="Arial"/>
          <w:sz w:val="24"/>
          <w:szCs w:val="24"/>
        </w:rPr>
      </w:pPr>
      <w:r w:rsidRPr="0018634D">
        <w:rPr>
          <w:rFonts w:ascii="Arial" w:hAnsi="Arial" w:cs="Arial"/>
          <w:sz w:val="24"/>
          <w:szCs w:val="24"/>
        </w:rPr>
        <w:t xml:space="preserve">Carrera 30 no. 25 </w:t>
      </w:r>
      <w:r w:rsidR="00A76E5F" w:rsidRPr="0018634D">
        <w:rPr>
          <w:rFonts w:ascii="Arial" w:hAnsi="Arial" w:cs="Arial"/>
          <w:sz w:val="24"/>
          <w:szCs w:val="24"/>
        </w:rPr>
        <w:t>–</w:t>
      </w:r>
      <w:r w:rsidRPr="0018634D">
        <w:rPr>
          <w:rFonts w:ascii="Arial" w:hAnsi="Arial" w:cs="Arial"/>
          <w:sz w:val="24"/>
          <w:szCs w:val="24"/>
        </w:rPr>
        <w:t xml:space="preserve"> 90</w:t>
      </w:r>
    </w:p>
    <w:p w14:paraId="10696B4E" w14:textId="62B84F22" w:rsidR="00A76E5F" w:rsidRPr="0018634D" w:rsidRDefault="00A76E5F" w:rsidP="007101A1">
      <w:pPr>
        <w:spacing w:after="0" w:line="240" w:lineRule="auto"/>
        <w:ind w:right="-568"/>
        <w:jc w:val="both"/>
        <w:rPr>
          <w:rFonts w:ascii="Arial" w:hAnsi="Arial" w:cs="Arial"/>
          <w:sz w:val="24"/>
          <w:szCs w:val="24"/>
        </w:rPr>
      </w:pPr>
      <w:r w:rsidRPr="0018634D">
        <w:rPr>
          <w:rFonts w:ascii="Arial" w:hAnsi="Arial" w:cs="Arial"/>
          <w:sz w:val="24"/>
          <w:szCs w:val="24"/>
        </w:rPr>
        <w:t>Correo:</w:t>
      </w:r>
      <w:r w:rsidR="00B25175" w:rsidRPr="0018634D">
        <w:rPr>
          <w:rFonts w:ascii="Arial" w:hAnsi="Arial" w:cs="Arial"/>
          <w:sz w:val="24"/>
          <w:szCs w:val="24"/>
        </w:rPr>
        <w:t xml:space="preserve"> nhermida@shd.gov.co</w:t>
      </w:r>
    </w:p>
    <w:p w14:paraId="3AA18B92" w14:textId="7A56C7CA" w:rsidR="00BC4612" w:rsidRPr="0018634D" w:rsidRDefault="00BC4612" w:rsidP="007101A1">
      <w:pPr>
        <w:spacing w:after="0" w:line="240" w:lineRule="auto"/>
        <w:ind w:right="-568"/>
        <w:jc w:val="both"/>
        <w:rPr>
          <w:rFonts w:ascii="Arial" w:hAnsi="Arial" w:cs="Arial"/>
          <w:sz w:val="24"/>
          <w:szCs w:val="24"/>
        </w:rPr>
      </w:pPr>
      <w:r w:rsidRPr="0018634D">
        <w:rPr>
          <w:rFonts w:ascii="Arial" w:hAnsi="Arial" w:cs="Arial"/>
          <w:sz w:val="24"/>
          <w:szCs w:val="24"/>
        </w:rPr>
        <w:t xml:space="preserve">NIT. </w:t>
      </w:r>
      <w:r w:rsidR="00B25175" w:rsidRPr="0018634D">
        <w:rPr>
          <w:rFonts w:ascii="Arial" w:hAnsi="Arial" w:cs="Arial"/>
          <w:sz w:val="24"/>
          <w:szCs w:val="24"/>
        </w:rPr>
        <w:t>8999990619</w:t>
      </w:r>
    </w:p>
    <w:p w14:paraId="7B7A11A4" w14:textId="302DD8C4" w:rsidR="00FA42B0" w:rsidRPr="0018634D" w:rsidRDefault="00C655B9" w:rsidP="007101A1">
      <w:pPr>
        <w:spacing w:after="0" w:line="240" w:lineRule="auto"/>
        <w:ind w:right="-568"/>
        <w:jc w:val="both"/>
        <w:rPr>
          <w:rFonts w:ascii="Arial" w:hAnsi="Arial" w:cs="Arial"/>
          <w:sz w:val="24"/>
          <w:szCs w:val="24"/>
        </w:rPr>
      </w:pPr>
      <w:r w:rsidRPr="0018634D">
        <w:rPr>
          <w:rFonts w:ascii="Arial" w:hAnsi="Arial" w:cs="Arial"/>
          <w:sz w:val="24"/>
          <w:szCs w:val="24"/>
        </w:rPr>
        <w:t>Ciudad</w:t>
      </w:r>
    </w:p>
    <w:p w14:paraId="1503C2A8" w14:textId="77777777" w:rsidR="00FA42B0" w:rsidRPr="0018634D" w:rsidRDefault="00FA42B0" w:rsidP="007101A1">
      <w:pPr>
        <w:spacing w:after="0" w:line="240" w:lineRule="auto"/>
        <w:ind w:right="-568"/>
        <w:jc w:val="both"/>
        <w:rPr>
          <w:rFonts w:ascii="Arial" w:hAnsi="Arial" w:cs="Arial"/>
          <w:sz w:val="24"/>
          <w:szCs w:val="24"/>
        </w:rPr>
      </w:pPr>
    </w:p>
    <w:p w14:paraId="1D32E92D" w14:textId="1B38E242" w:rsidR="00FA42B0" w:rsidRPr="0018634D" w:rsidRDefault="00E706B0" w:rsidP="007101A1">
      <w:pPr>
        <w:spacing w:after="0" w:line="240" w:lineRule="auto"/>
        <w:ind w:right="-568"/>
        <w:jc w:val="center"/>
        <w:rPr>
          <w:rFonts w:ascii="Arial" w:hAnsi="Arial" w:cs="Arial"/>
          <w:b/>
          <w:bCs/>
          <w:sz w:val="24"/>
          <w:szCs w:val="24"/>
        </w:rPr>
      </w:pPr>
      <w:r w:rsidRPr="0018634D">
        <w:rPr>
          <w:rFonts w:ascii="Arial" w:hAnsi="Arial" w:cs="Arial"/>
          <w:b/>
          <w:bCs/>
          <w:sz w:val="24"/>
          <w:szCs w:val="24"/>
        </w:rPr>
        <w:t>CONCEPTO</w:t>
      </w:r>
    </w:p>
    <w:p w14:paraId="704CBE30" w14:textId="4B292AD4" w:rsidR="005D4346" w:rsidRPr="0018634D" w:rsidRDefault="005D4346" w:rsidP="007101A1">
      <w:pPr>
        <w:spacing w:after="0" w:line="240" w:lineRule="auto"/>
        <w:ind w:right="-568"/>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1980"/>
        <w:gridCol w:w="6514"/>
      </w:tblGrid>
      <w:tr w:rsidR="0018634D" w:rsidRPr="0018634D" w14:paraId="0EA45099" w14:textId="77777777" w:rsidTr="002C2F14">
        <w:tc>
          <w:tcPr>
            <w:tcW w:w="1980" w:type="dxa"/>
          </w:tcPr>
          <w:p w14:paraId="01A6A97D" w14:textId="09544B2F" w:rsidR="005D4346" w:rsidRPr="00D77C95" w:rsidRDefault="005D4346" w:rsidP="007101A1">
            <w:pPr>
              <w:ind w:right="-568"/>
              <w:jc w:val="both"/>
              <w:rPr>
                <w:rFonts w:ascii="Arial" w:hAnsi="Arial" w:cs="Arial"/>
                <w:sz w:val="20"/>
                <w:szCs w:val="20"/>
              </w:rPr>
            </w:pPr>
            <w:r w:rsidRPr="00D77C95">
              <w:rPr>
                <w:rFonts w:ascii="Arial" w:hAnsi="Arial" w:cs="Arial"/>
                <w:sz w:val="20"/>
                <w:szCs w:val="20"/>
              </w:rPr>
              <w:t>Referencia</w:t>
            </w:r>
          </w:p>
        </w:tc>
        <w:tc>
          <w:tcPr>
            <w:tcW w:w="6514" w:type="dxa"/>
          </w:tcPr>
          <w:p w14:paraId="71C0DB27" w14:textId="4A14DF86" w:rsidR="005D4346" w:rsidRPr="00D77C95" w:rsidRDefault="005D4346" w:rsidP="007101A1">
            <w:pPr>
              <w:ind w:right="-568"/>
              <w:jc w:val="both"/>
              <w:rPr>
                <w:rFonts w:ascii="Arial" w:hAnsi="Arial" w:cs="Arial"/>
                <w:sz w:val="20"/>
                <w:szCs w:val="20"/>
              </w:rPr>
            </w:pPr>
            <w:r w:rsidRPr="00D77C95">
              <w:rPr>
                <w:rFonts w:ascii="Arial" w:hAnsi="Arial" w:cs="Arial"/>
                <w:sz w:val="20"/>
                <w:szCs w:val="20"/>
              </w:rPr>
              <w:t>2021</w:t>
            </w:r>
            <w:r w:rsidR="00E94A0F" w:rsidRPr="00D77C95">
              <w:rPr>
                <w:rFonts w:ascii="Arial" w:hAnsi="Arial" w:cs="Arial"/>
                <w:sz w:val="20"/>
                <w:szCs w:val="20"/>
              </w:rPr>
              <w:t>IE020845O1</w:t>
            </w:r>
          </w:p>
        </w:tc>
      </w:tr>
      <w:tr w:rsidR="0018634D" w:rsidRPr="0018634D" w14:paraId="117557DF" w14:textId="77777777" w:rsidTr="002C2F14">
        <w:tc>
          <w:tcPr>
            <w:tcW w:w="1980" w:type="dxa"/>
          </w:tcPr>
          <w:p w14:paraId="50B4AC1D" w14:textId="31CF272C" w:rsidR="005D4346" w:rsidRPr="00D77C95" w:rsidRDefault="00450F10" w:rsidP="007101A1">
            <w:pPr>
              <w:ind w:right="-568"/>
              <w:jc w:val="both"/>
              <w:rPr>
                <w:rFonts w:ascii="Arial" w:hAnsi="Arial" w:cs="Arial"/>
                <w:sz w:val="20"/>
                <w:szCs w:val="20"/>
              </w:rPr>
            </w:pPr>
            <w:r w:rsidRPr="00D77C95">
              <w:rPr>
                <w:rFonts w:ascii="Arial" w:hAnsi="Arial" w:cs="Arial"/>
                <w:sz w:val="20"/>
                <w:szCs w:val="20"/>
              </w:rPr>
              <w:t xml:space="preserve">Descripción general </w:t>
            </w:r>
          </w:p>
        </w:tc>
        <w:tc>
          <w:tcPr>
            <w:tcW w:w="6514" w:type="dxa"/>
          </w:tcPr>
          <w:p w14:paraId="3E3BA6A8" w14:textId="3EA9D215" w:rsidR="005D4346" w:rsidRPr="00D77C95" w:rsidRDefault="00E55A30" w:rsidP="007101A1">
            <w:pPr>
              <w:ind w:right="-568"/>
              <w:jc w:val="both"/>
              <w:rPr>
                <w:rFonts w:ascii="Arial" w:hAnsi="Arial" w:cs="Arial"/>
                <w:sz w:val="20"/>
                <w:szCs w:val="20"/>
              </w:rPr>
            </w:pPr>
            <w:r w:rsidRPr="00D77C95">
              <w:rPr>
                <w:rFonts w:ascii="Arial" w:hAnsi="Arial" w:cs="Arial"/>
                <w:sz w:val="20"/>
                <w:szCs w:val="20"/>
              </w:rPr>
              <w:t xml:space="preserve">Tesorería – </w:t>
            </w:r>
            <w:r w:rsidR="00C95CFA" w:rsidRPr="00D77C95">
              <w:rPr>
                <w:rFonts w:ascii="Arial" w:hAnsi="Arial" w:cs="Arial"/>
                <w:sz w:val="20"/>
                <w:szCs w:val="20"/>
              </w:rPr>
              <w:t>Marcación c</w:t>
            </w:r>
            <w:r w:rsidRPr="00D77C95">
              <w:rPr>
                <w:rFonts w:ascii="Arial" w:hAnsi="Arial" w:cs="Arial"/>
                <w:sz w:val="20"/>
                <w:szCs w:val="20"/>
              </w:rPr>
              <w:t>uenta para exención de GMF</w:t>
            </w:r>
          </w:p>
        </w:tc>
      </w:tr>
      <w:tr w:rsidR="0018634D" w:rsidRPr="0018634D" w14:paraId="437FA411" w14:textId="77777777" w:rsidTr="002C2F14">
        <w:tc>
          <w:tcPr>
            <w:tcW w:w="1980" w:type="dxa"/>
          </w:tcPr>
          <w:p w14:paraId="5DB8BB82" w14:textId="547EAA06" w:rsidR="005D4346" w:rsidRPr="00D77C95" w:rsidRDefault="0060135C" w:rsidP="007101A1">
            <w:pPr>
              <w:ind w:right="-568"/>
              <w:jc w:val="both"/>
              <w:rPr>
                <w:rFonts w:ascii="Arial" w:hAnsi="Arial" w:cs="Arial"/>
                <w:sz w:val="20"/>
                <w:szCs w:val="20"/>
              </w:rPr>
            </w:pPr>
            <w:r w:rsidRPr="00D77C95">
              <w:rPr>
                <w:rFonts w:ascii="Arial" w:hAnsi="Arial" w:cs="Arial"/>
                <w:sz w:val="20"/>
                <w:szCs w:val="20"/>
              </w:rPr>
              <w:t>Descriptores especiales</w:t>
            </w:r>
          </w:p>
        </w:tc>
        <w:tc>
          <w:tcPr>
            <w:tcW w:w="6514" w:type="dxa"/>
          </w:tcPr>
          <w:p w14:paraId="12FE5E98" w14:textId="0544DCBA" w:rsidR="005D4346" w:rsidRPr="00D77C95" w:rsidRDefault="00C95CFA" w:rsidP="007101A1">
            <w:pPr>
              <w:ind w:right="-568"/>
              <w:jc w:val="both"/>
              <w:rPr>
                <w:rFonts w:ascii="Arial" w:hAnsi="Arial" w:cs="Arial"/>
                <w:sz w:val="20"/>
                <w:szCs w:val="20"/>
              </w:rPr>
            </w:pPr>
            <w:r w:rsidRPr="00D77C95">
              <w:rPr>
                <w:rFonts w:ascii="Arial" w:hAnsi="Arial" w:cs="Arial"/>
                <w:sz w:val="20"/>
                <w:szCs w:val="20"/>
              </w:rPr>
              <w:t>Marcación de cuenta – exención – Gravamen a los Movimientos Financieros</w:t>
            </w:r>
          </w:p>
        </w:tc>
      </w:tr>
      <w:tr w:rsidR="0018634D" w:rsidRPr="0018634D" w14:paraId="3C568834" w14:textId="77777777" w:rsidTr="002C2F14">
        <w:tc>
          <w:tcPr>
            <w:tcW w:w="1980" w:type="dxa"/>
          </w:tcPr>
          <w:p w14:paraId="12C5F885" w14:textId="55B1768B" w:rsidR="005D4346" w:rsidRPr="00D77C95" w:rsidRDefault="0060135C" w:rsidP="007101A1">
            <w:pPr>
              <w:ind w:right="-568"/>
              <w:jc w:val="both"/>
              <w:rPr>
                <w:rFonts w:ascii="Arial" w:hAnsi="Arial" w:cs="Arial"/>
                <w:sz w:val="20"/>
                <w:szCs w:val="20"/>
              </w:rPr>
            </w:pPr>
            <w:r w:rsidRPr="00D77C95">
              <w:rPr>
                <w:rFonts w:ascii="Arial" w:hAnsi="Arial" w:cs="Arial"/>
                <w:sz w:val="20"/>
                <w:szCs w:val="20"/>
              </w:rPr>
              <w:t>Problema Jurídico</w:t>
            </w:r>
          </w:p>
        </w:tc>
        <w:tc>
          <w:tcPr>
            <w:tcW w:w="6514" w:type="dxa"/>
          </w:tcPr>
          <w:p w14:paraId="4FDBBFB6" w14:textId="6597AD1B" w:rsidR="005D4346" w:rsidRPr="00D77C95" w:rsidRDefault="00F052FA" w:rsidP="007101A1">
            <w:pPr>
              <w:ind w:right="-568"/>
              <w:jc w:val="both"/>
              <w:rPr>
                <w:rFonts w:ascii="Arial" w:hAnsi="Arial" w:cs="Arial"/>
                <w:sz w:val="20"/>
                <w:szCs w:val="20"/>
              </w:rPr>
            </w:pPr>
            <w:r w:rsidRPr="00D77C95">
              <w:rPr>
                <w:rFonts w:ascii="Arial" w:hAnsi="Arial" w:cs="Arial"/>
                <w:sz w:val="20"/>
                <w:szCs w:val="20"/>
              </w:rPr>
              <w:t>¿</w:t>
            </w:r>
            <w:r w:rsidR="00271F69" w:rsidRPr="00D77C95">
              <w:rPr>
                <w:rFonts w:ascii="Arial" w:hAnsi="Arial" w:cs="Arial"/>
                <w:sz w:val="20"/>
                <w:szCs w:val="20"/>
              </w:rPr>
              <w:t xml:space="preserve">Puede marcarse como exenta de </w:t>
            </w:r>
            <w:r w:rsidR="005111B2" w:rsidRPr="00D77C95">
              <w:rPr>
                <w:rFonts w:ascii="Arial" w:hAnsi="Arial" w:cs="Arial"/>
                <w:sz w:val="20"/>
                <w:szCs w:val="20"/>
              </w:rPr>
              <w:t>G</w:t>
            </w:r>
            <w:r w:rsidR="00271F69" w:rsidRPr="00D77C95">
              <w:rPr>
                <w:rFonts w:ascii="Arial" w:hAnsi="Arial" w:cs="Arial"/>
                <w:sz w:val="20"/>
                <w:szCs w:val="20"/>
              </w:rPr>
              <w:t xml:space="preserve">MF la cuenta o cuentas(s) bancarias abiertas y destinadas </w:t>
            </w:r>
            <w:r w:rsidR="001A2FC4" w:rsidRPr="00D77C95">
              <w:rPr>
                <w:rFonts w:ascii="Arial" w:hAnsi="Arial" w:cs="Arial"/>
                <w:sz w:val="20"/>
                <w:szCs w:val="20"/>
              </w:rPr>
              <w:t xml:space="preserve">para recepción de recursos CREE </w:t>
            </w:r>
            <w:r w:rsidR="00271F69" w:rsidRPr="00D77C95">
              <w:rPr>
                <w:rFonts w:ascii="Arial" w:hAnsi="Arial" w:cs="Arial"/>
                <w:sz w:val="20"/>
                <w:szCs w:val="20"/>
              </w:rPr>
              <w:t>por la Universidad Distrital Francisco José de Caldas</w:t>
            </w:r>
            <w:r w:rsidR="001A2FC4" w:rsidRPr="00D77C95">
              <w:rPr>
                <w:rFonts w:ascii="Arial" w:hAnsi="Arial" w:cs="Arial"/>
                <w:sz w:val="20"/>
                <w:szCs w:val="20"/>
              </w:rPr>
              <w:t>,</w:t>
            </w:r>
            <w:r w:rsidR="00271F69" w:rsidRPr="00D77C95">
              <w:rPr>
                <w:rFonts w:ascii="Arial" w:hAnsi="Arial" w:cs="Arial"/>
                <w:sz w:val="20"/>
                <w:szCs w:val="20"/>
              </w:rPr>
              <w:t xml:space="preserve"> recibid</w:t>
            </w:r>
            <w:r w:rsidR="001A2FC4" w:rsidRPr="00D77C95">
              <w:rPr>
                <w:rFonts w:ascii="Arial" w:hAnsi="Arial" w:cs="Arial"/>
                <w:sz w:val="20"/>
                <w:szCs w:val="20"/>
              </w:rPr>
              <w:t>o</w:t>
            </w:r>
            <w:r w:rsidR="00271F69" w:rsidRPr="00D77C95">
              <w:rPr>
                <w:rFonts w:ascii="Arial" w:hAnsi="Arial" w:cs="Arial"/>
                <w:sz w:val="20"/>
                <w:szCs w:val="20"/>
              </w:rPr>
              <w:t>s por el Decreto Nacional 1075 de 2015</w:t>
            </w:r>
            <w:r w:rsidRPr="00D77C95">
              <w:rPr>
                <w:rFonts w:ascii="Arial" w:hAnsi="Arial" w:cs="Arial"/>
                <w:sz w:val="20"/>
                <w:szCs w:val="20"/>
              </w:rPr>
              <w:t>?</w:t>
            </w:r>
          </w:p>
        </w:tc>
      </w:tr>
      <w:tr w:rsidR="00C57314" w:rsidRPr="0018634D" w14:paraId="6CFA2094" w14:textId="77777777" w:rsidTr="002C2F14">
        <w:tc>
          <w:tcPr>
            <w:tcW w:w="1980" w:type="dxa"/>
          </w:tcPr>
          <w:p w14:paraId="5EB3F99F" w14:textId="4EA28C71" w:rsidR="005D4346" w:rsidRPr="00D77C95" w:rsidRDefault="00F91547" w:rsidP="007101A1">
            <w:pPr>
              <w:ind w:right="-568"/>
              <w:jc w:val="both"/>
              <w:rPr>
                <w:rFonts w:ascii="Arial" w:hAnsi="Arial" w:cs="Arial"/>
                <w:sz w:val="20"/>
                <w:szCs w:val="20"/>
              </w:rPr>
            </w:pPr>
            <w:r w:rsidRPr="00D77C95">
              <w:rPr>
                <w:rFonts w:ascii="Arial" w:hAnsi="Arial" w:cs="Arial"/>
                <w:sz w:val="20"/>
                <w:szCs w:val="20"/>
              </w:rPr>
              <w:t>Fuentes formales</w:t>
            </w:r>
          </w:p>
        </w:tc>
        <w:tc>
          <w:tcPr>
            <w:tcW w:w="6514" w:type="dxa"/>
          </w:tcPr>
          <w:p w14:paraId="397C3496" w14:textId="1B9E4B68" w:rsidR="00A7395E" w:rsidRPr="00D77C95" w:rsidRDefault="00F62D42" w:rsidP="007101A1">
            <w:pPr>
              <w:ind w:right="-568"/>
              <w:jc w:val="both"/>
              <w:rPr>
                <w:rFonts w:ascii="Arial" w:hAnsi="Arial" w:cs="Arial"/>
                <w:sz w:val="20"/>
                <w:szCs w:val="20"/>
              </w:rPr>
            </w:pPr>
            <w:r w:rsidRPr="00D77C95">
              <w:rPr>
                <w:rFonts w:ascii="Arial" w:hAnsi="Arial" w:cs="Arial"/>
                <w:sz w:val="20"/>
                <w:szCs w:val="20"/>
              </w:rPr>
              <w:t>Artículo 2.5.4.3.1</w:t>
            </w:r>
            <w:r w:rsidR="001A087F" w:rsidRPr="00D77C95">
              <w:rPr>
                <w:rFonts w:ascii="Arial" w:hAnsi="Arial" w:cs="Arial"/>
                <w:sz w:val="20"/>
                <w:szCs w:val="20"/>
              </w:rPr>
              <w:t>.</w:t>
            </w:r>
            <w:r w:rsidRPr="00D77C95">
              <w:rPr>
                <w:rFonts w:ascii="Arial" w:hAnsi="Arial" w:cs="Arial"/>
                <w:sz w:val="20"/>
                <w:szCs w:val="20"/>
              </w:rPr>
              <w:t xml:space="preserve"> y s.s.</w:t>
            </w:r>
            <w:r w:rsidR="001A087F" w:rsidRPr="00D77C95">
              <w:rPr>
                <w:rFonts w:ascii="Arial" w:hAnsi="Arial" w:cs="Arial"/>
                <w:sz w:val="20"/>
                <w:szCs w:val="20"/>
              </w:rPr>
              <w:t xml:space="preserve"> del</w:t>
            </w:r>
            <w:r w:rsidRPr="00D77C95">
              <w:rPr>
                <w:rFonts w:ascii="Arial" w:hAnsi="Arial" w:cs="Arial"/>
                <w:sz w:val="20"/>
                <w:szCs w:val="20"/>
              </w:rPr>
              <w:t xml:space="preserve"> Decreto 1075 de 2015, </w:t>
            </w:r>
            <w:r w:rsidR="001A2FC4" w:rsidRPr="00D77C95">
              <w:rPr>
                <w:rFonts w:ascii="Arial" w:hAnsi="Arial" w:cs="Arial"/>
                <w:sz w:val="20"/>
                <w:szCs w:val="20"/>
              </w:rPr>
              <w:t>artículo 1.4.2.2.31 del Decreto Único Reglamentario 1625 de 2016, numeral 9 del artículo 879 del Estatuto Tributario Nacional</w:t>
            </w:r>
            <w:r w:rsidR="00F3169C" w:rsidRPr="00D77C95">
              <w:rPr>
                <w:rFonts w:ascii="Arial" w:hAnsi="Arial" w:cs="Arial"/>
                <w:sz w:val="20"/>
                <w:szCs w:val="20"/>
              </w:rPr>
              <w:t>.</w:t>
            </w:r>
            <w:r w:rsidR="004834D5" w:rsidRPr="00D77C95">
              <w:rPr>
                <w:rFonts w:ascii="Arial" w:hAnsi="Arial" w:cs="Arial"/>
                <w:sz w:val="20"/>
                <w:szCs w:val="20"/>
              </w:rPr>
              <w:t xml:space="preserve"> Decreto Nacional 111 de 1996; Decreto Distrital 714 de 1996:</w:t>
            </w:r>
            <w:r w:rsidR="004834D5" w:rsidRPr="00D77C95">
              <w:rPr>
                <w:sz w:val="20"/>
                <w:szCs w:val="20"/>
              </w:rPr>
              <w:t xml:space="preserve"> </w:t>
            </w:r>
            <w:r w:rsidR="004834D5" w:rsidRPr="00D77C95">
              <w:rPr>
                <w:rFonts w:ascii="Arial" w:hAnsi="Arial" w:cs="Arial"/>
                <w:sz w:val="20"/>
                <w:szCs w:val="20"/>
              </w:rPr>
              <w:t>Consejo de Estado. Sección Cuarta. Sentencia del 28 de agosto de 2014. Expediente 11001-03-27-000-2011-00033-00(19105);</w:t>
            </w:r>
            <w:r w:rsidR="004834D5" w:rsidRPr="00D77C95">
              <w:rPr>
                <w:rFonts w:ascii="Arial" w:hAnsi="Arial" w:cs="Arial"/>
                <w:sz w:val="20"/>
                <w:szCs w:val="20"/>
                <w:lang w:eastAsia="es-CO"/>
              </w:rPr>
              <w:t xml:space="preserve"> Concepto Unificado sobre el Gravamen a los Movimientos Financieros 1466 del 29 de diciembre de 2017; </w:t>
            </w:r>
            <w:r w:rsidR="004834D5" w:rsidRPr="00D77C95">
              <w:rPr>
                <w:rFonts w:ascii="Arial" w:hAnsi="Arial" w:cs="Arial"/>
                <w:sz w:val="20"/>
                <w:szCs w:val="20"/>
              </w:rPr>
              <w:t>el Concepto 31180 del 12 de agosto de 2015, emitido por el Ministerio de Hacienda y Crédito Público</w:t>
            </w:r>
            <w:r w:rsidR="00D77C95" w:rsidRPr="00D77C95">
              <w:rPr>
                <w:rFonts w:ascii="Arial" w:hAnsi="Arial" w:cs="Arial"/>
                <w:sz w:val="20"/>
                <w:szCs w:val="20"/>
              </w:rPr>
              <w:t>.</w:t>
            </w:r>
          </w:p>
        </w:tc>
      </w:tr>
    </w:tbl>
    <w:p w14:paraId="055CD65E" w14:textId="77777777" w:rsidR="005D4346" w:rsidRPr="0018634D" w:rsidRDefault="005D4346" w:rsidP="007101A1">
      <w:pPr>
        <w:spacing w:after="0" w:line="240" w:lineRule="auto"/>
        <w:ind w:right="-568"/>
        <w:jc w:val="both"/>
        <w:rPr>
          <w:rFonts w:ascii="Arial" w:hAnsi="Arial" w:cs="Arial"/>
          <w:sz w:val="24"/>
          <w:szCs w:val="24"/>
        </w:rPr>
      </w:pPr>
    </w:p>
    <w:p w14:paraId="5F7B168F" w14:textId="5C893F10" w:rsidR="00F91547" w:rsidRPr="0018634D" w:rsidRDefault="00F91547" w:rsidP="007101A1">
      <w:pPr>
        <w:spacing w:after="0" w:line="240" w:lineRule="auto"/>
        <w:ind w:right="-568"/>
        <w:jc w:val="both"/>
        <w:rPr>
          <w:rFonts w:ascii="Arial" w:hAnsi="Arial" w:cs="Arial"/>
          <w:sz w:val="24"/>
          <w:szCs w:val="24"/>
          <w:shd w:val="clear" w:color="auto" w:fill="FFFFFF"/>
        </w:rPr>
      </w:pPr>
    </w:p>
    <w:p w14:paraId="2DAA3235" w14:textId="04E5116E" w:rsidR="00FA42B0" w:rsidRPr="0018634D" w:rsidRDefault="00C27AEB" w:rsidP="007101A1">
      <w:pPr>
        <w:spacing w:after="0" w:line="240" w:lineRule="auto"/>
        <w:ind w:right="-568"/>
        <w:jc w:val="both"/>
        <w:rPr>
          <w:rFonts w:ascii="Arial" w:hAnsi="Arial" w:cs="Arial"/>
          <w:b/>
          <w:bCs/>
          <w:sz w:val="24"/>
          <w:szCs w:val="24"/>
          <w:shd w:val="clear" w:color="auto" w:fill="FFFFFF"/>
        </w:rPr>
      </w:pPr>
      <w:r w:rsidRPr="0018634D">
        <w:rPr>
          <w:rFonts w:ascii="Arial" w:hAnsi="Arial" w:cs="Arial"/>
          <w:b/>
          <w:bCs/>
          <w:sz w:val="24"/>
          <w:szCs w:val="24"/>
          <w:shd w:val="clear" w:color="auto" w:fill="FFFFFF"/>
        </w:rPr>
        <w:t>IDENTIFICACIÓN DE LA CONSULTA</w:t>
      </w:r>
    </w:p>
    <w:p w14:paraId="62DA6726" w14:textId="3D8B2A21" w:rsidR="00C27AEB" w:rsidRPr="0018634D" w:rsidRDefault="00C27AEB" w:rsidP="007101A1">
      <w:pPr>
        <w:spacing w:after="0" w:line="240" w:lineRule="auto"/>
        <w:ind w:right="-568"/>
        <w:jc w:val="both"/>
        <w:rPr>
          <w:rFonts w:ascii="Arial" w:hAnsi="Arial" w:cs="Arial"/>
          <w:b/>
          <w:bCs/>
          <w:sz w:val="24"/>
          <w:szCs w:val="24"/>
        </w:rPr>
      </w:pPr>
    </w:p>
    <w:p w14:paraId="309AF230" w14:textId="5FB57F33" w:rsidR="00A32577" w:rsidRPr="0018634D" w:rsidRDefault="00A80AFA" w:rsidP="007101A1">
      <w:pPr>
        <w:spacing w:after="0" w:line="240" w:lineRule="auto"/>
        <w:ind w:right="-568"/>
        <w:jc w:val="both"/>
        <w:rPr>
          <w:rFonts w:ascii="Arial" w:hAnsi="Arial" w:cs="Arial"/>
          <w:sz w:val="24"/>
          <w:szCs w:val="24"/>
        </w:rPr>
      </w:pPr>
      <w:r w:rsidRPr="0018634D">
        <w:rPr>
          <w:rFonts w:ascii="Arial" w:hAnsi="Arial" w:cs="Arial"/>
          <w:sz w:val="24"/>
          <w:szCs w:val="24"/>
        </w:rPr>
        <w:t>La Dirección Distrital de Tesorería (DDT) de la Secretaría Distrital de Hacienda (SDH), a través de la Subdirección de Operación Financiera</w:t>
      </w:r>
      <w:r w:rsidR="002C2F14">
        <w:rPr>
          <w:rFonts w:ascii="Arial" w:hAnsi="Arial" w:cs="Arial"/>
          <w:sz w:val="24"/>
          <w:szCs w:val="24"/>
        </w:rPr>
        <w:t xml:space="preserve"> consulta:</w:t>
      </w:r>
      <w:r w:rsidR="00520101">
        <w:rPr>
          <w:rFonts w:ascii="Arial" w:hAnsi="Arial" w:cs="Arial"/>
          <w:sz w:val="24"/>
          <w:szCs w:val="24"/>
        </w:rPr>
        <w:t xml:space="preserve"> </w:t>
      </w:r>
    </w:p>
    <w:p w14:paraId="08E873EA" w14:textId="77777777" w:rsidR="00406833" w:rsidRDefault="00406833" w:rsidP="007101A1">
      <w:pPr>
        <w:spacing w:after="0" w:line="240" w:lineRule="auto"/>
        <w:ind w:left="284" w:right="-568"/>
        <w:jc w:val="both"/>
        <w:rPr>
          <w:rFonts w:ascii="Arial" w:hAnsi="Arial" w:cs="Arial"/>
          <w:sz w:val="24"/>
          <w:szCs w:val="24"/>
        </w:rPr>
      </w:pPr>
    </w:p>
    <w:p w14:paraId="0481F6EE" w14:textId="073E4750" w:rsidR="00A32577" w:rsidRPr="0018634D" w:rsidRDefault="00A32577" w:rsidP="007101A1">
      <w:pPr>
        <w:spacing w:after="0" w:line="240" w:lineRule="auto"/>
        <w:ind w:right="-568"/>
        <w:jc w:val="both"/>
        <w:rPr>
          <w:rFonts w:ascii="Arial" w:hAnsi="Arial" w:cs="Arial"/>
          <w:sz w:val="24"/>
          <w:szCs w:val="24"/>
        </w:rPr>
      </w:pPr>
      <w:r w:rsidRPr="0018634D">
        <w:rPr>
          <w:rFonts w:ascii="Arial" w:hAnsi="Arial" w:cs="Arial"/>
          <w:sz w:val="24"/>
          <w:szCs w:val="24"/>
        </w:rPr>
        <w:t>¿</w:t>
      </w:r>
      <w:r w:rsidR="00904225">
        <w:rPr>
          <w:rFonts w:ascii="Arial" w:hAnsi="Arial" w:cs="Arial"/>
          <w:sz w:val="24"/>
          <w:szCs w:val="24"/>
        </w:rPr>
        <w:t>E</w:t>
      </w:r>
      <w:r w:rsidRPr="0018634D">
        <w:rPr>
          <w:rFonts w:ascii="Arial" w:hAnsi="Arial" w:cs="Arial"/>
          <w:sz w:val="24"/>
          <w:szCs w:val="24"/>
        </w:rPr>
        <w:t>s jurídicamente viable marcar como exenta de GMF la cuenta o cuenta(s) bancarias abiertas y destinadas por la Universidad Distrital Francisco José de Caldas, exclusivamente, para la recepción de los recursos del CREE, recibidos en cumplimiento del Decreto Nacional 1075 de 2015?”</w:t>
      </w:r>
    </w:p>
    <w:p w14:paraId="38B4DDF0" w14:textId="77777777" w:rsidR="000B7613" w:rsidRPr="0018634D" w:rsidRDefault="000B7613" w:rsidP="007101A1">
      <w:pPr>
        <w:spacing w:after="0" w:line="240" w:lineRule="auto"/>
        <w:ind w:left="705" w:right="-568"/>
        <w:jc w:val="both"/>
        <w:rPr>
          <w:rFonts w:ascii="Arial" w:hAnsi="Arial" w:cs="Arial"/>
          <w:sz w:val="24"/>
          <w:szCs w:val="24"/>
        </w:rPr>
      </w:pPr>
    </w:p>
    <w:p w14:paraId="1D49D76C" w14:textId="3AE80460" w:rsidR="00904225" w:rsidRPr="004625EF" w:rsidRDefault="00904225" w:rsidP="007101A1">
      <w:pPr>
        <w:spacing w:after="0" w:line="240" w:lineRule="auto"/>
        <w:ind w:right="-568"/>
        <w:jc w:val="both"/>
        <w:rPr>
          <w:rFonts w:ascii="Arial" w:hAnsi="Arial" w:cs="Arial"/>
          <w:b/>
          <w:bCs/>
          <w:sz w:val="24"/>
          <w:szCs w:val="24"/>
          <w:shd w:val="clear" w:color="auto" w:fill="FFFFFF"/>
        </w:rPr>
      </w:pPr>
      <w:r w:rsidRPr="004625EF">
        <w:rPr>
          <w:rFonts w:ascii="Arial" w:hAnsi="Arial" w:cs="Arial"/>
          <w:b/>
          <w:bCs/>
          <w:sz w:val="24"/>
          <w:szCs w:val="24"/>
          <w:shd w:val="clear" w:color="auto" w:fill="FFFFFF"/>
        </w:rPr>
        <w:t>ANTECEDENTES</w:t>
      </w:r>
    </w:p>
    <w:p w14:paraId="2C4B453F" w14:textId="600F7E0A" w:rsidR="00904225" w:rsidRDefault="00904225" w:rsidP="007101A1">
      <w:pPr>
        <w:spacing w:after="0" w:line="240" w:lineRule="auto"/>
        <w:ind w:right="-568"/>
        <w:jc w:val="both"/>
        <w:rPr>
          <w:rFonts w:ascii="Arial" w:hAnsi="Arial" w:cs="Arial"/>
          <w:sz w:val="24"/>
          <w:szCs w:val="24"/>
          <w:shd w:val="clear" w:color="auto" w:fill="FFFFFF"/>
        </w:rPr>
      </w:pPr>
    </w:p>
    <w:p w14:paraId="676ECD19" w14:textId="047593ED" w:rsidR="00904225" w:rsidRDefault="00A41AA5" w:rsidP="007101A1">
      <w:pPr>
        <w:spacing w:after="0" w:line="240" w:lineRule="auto"/>
        <w:ind w:right="-568"/>
        <w:jc w:val="both"/>
        <w:rPr>
          <w:rFonts w:ascii="Arial" w:hAnsi="Arial" w:cs="Arial"/>
          <w:sz w:val="24"/>
          <w:szCs w:val="24"/>
        </w:rPr>
      </w:pPr>
      <w:r>
        <w:rPr>
          <w:rFonts w:ascii="Arial" w:hAnsi="Arial" w:cs="Arial"/>
          <w:sz w:val="24"/>
          <w:szCs w:val="24"/>
        </w:rPr>
        <w:t>L</w:t>
      </w:r>
      <w:r w:rsidR="00904225" w:rsidRPr="004625EF">
        <w:rPr>
          <w:rFonts w:ascii="Arial" w:hAnsi="Arial" w:cs="Arial"/>
          <w:sz w:val="24"/>
          <w:szCs w:val="24"/>
        </w:rPr>
        <w:t xml:space="preserve">a Universidad Distrital Francisco José de Caldas solicitó a la Dirección Distrital de Tesorería la marcación de la cuenta de ahorros 220- 048- 02438-4 del Banco Popular, en la cual se manejan exclusivamente los recursos </w:t>
      </w:r>
      <w:r w:rsidR="00B2692E">
        <w:rPr>
          <w:rFonts w:ascii="Arial" w:hAnsi="Arial" w:cs="Arial"/>
          <w:sz w:val="24"/>
          <w:szCs w:val="24"/>
        </w:rPr>
        <w:t xml:space="preserve">del </w:t>
      </w:r>
      <w:r w:rsidR="00904225" w:rsidRPr="004625EF">
        <w:rPr>
          <w:rFonts w:ascii="Arial" w:hAnsi="Arial" w:cs="Arial"/>
          <w:sz w:val="24"/>
          <w:szCs w:val="24"/>
        </w:rPr>
        <w:t xml:space="preserve">Impuesto sobre la Renta para la Equidad, los cuales se recibieron en cumplimiento del Decreto </w:t>
      </w:r>
      <w:r>
        <w:rPr>
          <w:rFonts w:ascii="Arial" w:hAnsi="Arial" w:cs="Arial"/>
          <w:sz w:val="24"/>
          <w:szCs w:val="24"/>
        </w:rPr>
        <w:t xml:space="preserve">Nacional </w:t>
      </w:r>
      <w:r w:rsidR="00904225" w:rsidRPr="004625EF">
        <w:rPr>
          <w:rFonts w:ascii="Arial" w:hAnsi="Arial" w:cs="Arial"/>
          <w:sz w:val="24"/>
          <w:szCs w:val="24"/>
        </w:rPr>
        <w:t xml:space="preserve">1075 de 2015. </w:t>
      </w:r>
    </w:p>
    <w:p w14:paraId="56DDBD2F" w14:textId="77777777" w:rsidR="00904225" w:rsidRDefault="00904225" w:rsidP="007101A1">
      <w:pPr>
        <w:spacing w:after="0" w:line="240" w:lineRule="auto"/>
        <w:ind w:right="-568"/>
        <w:jc w:val="both"/>
        <w:rPr>
          <w:rFonts w:ascii="Arial" w:hAnsi="Arial" w:cs="Arial"/>
          <w:sz w:val="24"/>
          <w:szCs w:val="24"/>
        </w:rPr>
      </w:pPr>
    </w:p>
    <w:p w14:paraId="0AC8D5A7" w14:textId="31437156" w:rsidR="00904225" w:rsidRDefault="00904225" w:rsidP="007101A1">
      <w:pPr>
        <w:spacing w:after="0" w:line="240" w:lineRule="auto"/>
        <w:ind w:right="-568"/>
        <w:jc w:val="both"/>
        <w:rPr>
          <w:rFonts w:ascii="Arial" w:hAnsi="Arial" w:cs="Arial"/>
          <w:sz w:val="24"/>
          <w:szCs w:val="24"/>
        </w:rPr>
      </w:pPr>
      <w:r w:rsidRPr="004625EF">
        <w:rPr>
          <w:rFonts w:ascii="Arial" w:hAnsi="Arial" w:cs="Arial"/>
          <w:sz w:val="24"/>
          <w:szCs w:val="24"/>
        </w:rPr>
        <w:t xml:space="preserve">En esta primera petición se afirmó que “estos recursos que hacen parte del Presupuesto de la Universidad Distrital Francisco José de Caldas” (Anexo No. 1). </w:t>
      </w:r>
      <w:r w:rsidRPr="004625EF">
        <w:rPr>
          <w:rFonts w:ascii="Arial" w:hAnsi="Arial" w:cs="Arial"/>
          <w:sz w:val="24"/>
          <w:szCs w:val="24"/>
        </w:rPr>
        <w:lastRenderedPageBreak/>
        <w:t xml:space="preserve">Adicionalmente, la Universidad allegó una certificación suscrita por el </w:t>
      </w:r>
      <w:r>
        <w:rPr>
          <w:rFonts w:ascii="Arial" w:hAnsi="Arial" w:cs="Arial"/>
          <w:sz w:val="24"/>
          <w:szCs w:val="24"/>
        </w:rPr>
        <w:t>R</w:t>
      </w:r>
      <w:r w:rsidRPr="004625EF">
        <w:rPr>
          <w:rFonts w:ascii="Arial" w:hAnsi="Arial" w:cs="Arial"/>
          <w:sz w:val="24"/>
          <w:szCs w:val="24"/>
        </w:rPr>
        <w:t xml:space="preserve">ector de la Universidad, en donde se señala que esta cuenta bancaria fue abierta el 17 de junio de 2020. </w:t>
      </w:r>
    </w:p>
    <w:p w14:paraId="172A18F0" w14:textId="77777777" w:rsidR="00904225" w:rsidRDefault="00904225" w:rsidP="007101A1">
      <w:pPr>
        <w:spacing w:after="0" w:line="240" w:lineRule="auto"/>
        <w:ind w:right="-568"/>
        <w:jc w:val="both"/>
        <w:rPr>
          <w:rFonts w:ascii="Arial" w:hAnsi="Arial" w:cs="Arial"/>
          <w:sz w:val="24"/>
          <w:szCs w:val="24"/>
        </w:rPr>
      </w:pPr>
    </w:p>
    <w:p w14:paraId="56E95B62" w14:textId="2BA964F2" w:rsidR="00904225" w:rsidRDefault="00904225" w:rsidP="007101A1">
      <w:pPr>
        <w:spacing w:after="0" w:line="240" w:lineRule="auto"/>
        <w:ind w:right="-568"/>
        <w:jc w:val="both"/>
        <w:rPr>
          <w:rFonts w:ascii="Arial" w:hAnsi="Arial" w:cs="Arial"/>
          <w:sz w:val="24"/>
          <w:szCs w:val="24"/>
        </w:rPr>
      </w:pPr>
      <w:r w:rsidRPr="004625EF">
        <w:rPr>
          <w:rFonts w:ascii="Arial" w:hAnsi="Arial" w:cs="Arial"/>
          <w:sz w:val="24"/>
          <w:szCs w:val="24"/>
        </w:rPr>
        <w:t>Dado que la certificación solo ven</w:t>
      </w:r>
      <w:r w:rsidR="00277E2F">
        <w:rPr>
          <w:rFonts w:ascii="Arial" w:hAnsi="Arial" w:cs="Arial"/>
          <w:sz w:val="24"/>
          <w:szCs w:val="24"/>
        </w:rPr>
        <w:t>í</w:t>
      </w:r>
      <w:r w:rsidRPr="004625EF">
        <w:rPr>
          <w:rFonts w:ascii="Arial" w:hAnsi="Arial" w:cs="Arial"/>
          <w:sz w:val="24"/>
          <w:szCs w:val="24"/>
        </w:rPr>
        <w:t xml:space="preserve">a suscrita por el </w:t>
      </w:r>
      <w:r>
        <w:rPr>
          <w:rFonts w:ascii="Arial" w:hAnsi="Arial" w:cs="Arial"/>
          <w:sz w:val="24"/>
          <w:szCs w:val="24"/>
        </w:rPr>
        <w:t>r</w:t>
      </w:r>
      <w:r w:rsidRPr="004625EF">
        <w:rPr>
          <w:rFonts w:ascii="Arial" w:hAnsi="Arial" w:cs="Arial"/>
          <w:sz w:val="24"/>
          <w:szCs w:val="24"/>
        </w:rPr>
        <w:t>ector en calidad de ordenador del gasto y no por el responsable de presupuesto</w:t>
      </w:r>
      <w:r w:rsidR="00560A5F">
        <w:rPr>
          <w:rFonts w:ascii="Arial" w:hAnsi="Arial" w:cs="Arial"/>
          <w:sz w:val="24"/>
          <w:szCs w:val="24"/>
        </w:rPr>
        <w:t xml:space="preserve">, </w:t>
      </w:r>
      <w:r w:rsidRPr="004625EF">
        <w:rPr>
          <w:rFonts w:ascii="Arial" w:hAnsi="Arial" w:cs="Arial"/>
          <w:sz w:val="24"/>
          <w:szCs w:val="24"/>
        </w:rPr>
        <w:t xml:space="preserve">se solicitó mediante el Oficio 2021EE198256 del 24 de septiembre de 2021, que allegarán de nuevo la misma. (Anexo No. 2) </w:t>
      </w:r>
    </w:p>
    <w:p w14:paraId="421E2FB0" w14:textId="77777777" w:rsidR="00904225" w:rsidRDefault="00904225" w:rsidP="007101A1">
      <w:pPr>
        <w:spacing w:after="0" w:line="240" w:lineRule="auto"/>
        <w:ind w:right="-568"/>
        <w:jc w:val="both"/>
        <w:rPr>
          <w:rFonts w:ascii="Arial" w:hAnsi="Arial" w:cs="Arial"/>
          <w:sz w:val="24"/>
          <w:szCs w:val="24"/>
        </w:rPr>
      </w:pPr>
    </w:p>
    <w:p w14:paraId="57BAD533" w14:textId="77777777" w:rsidR="00904225" w:rsidRDefault="00904225" w:rsidP="007101A1">
      <w:pPr>
        <w:spacing w:after="0" w:line="240" w:lineRule="auto"/>
        <w:ind w:right="-568"/>
        <w:jc w:val="both"/>
        <w:rPr>
          <w:rFonts w:ascii="Arial" w:hAnsi="Arial" w:cs="Arial"/>
          <w:sz w:val="24"/>
          <w:szCs w:val="24"/>
        </w:rPr>
      </w:pPr>
      <w:r w:rsidRPr="004625EF">
        <w:rPr>
          <w:rFonts w:ascii="Arial" w:hAnsi="Arial" w:cs="Arial"/>
          <w:sz w:val="24"/>
          <w:szCs w:val="24"/>
        </w:rPr>
        <w:t xml:space="preserve">En respuesta a esta petición, mediante los Oficios 2021ER161514 del 20 de septiembre de 2021 y 2021ER174021 del 4 de octubre de 2021, la Universidad Distrital remitió una nueva documentación en la cual envían certificación con fecha del 27 de septiembre, en donde se eliminó la referencia a la frase en la que se señala que “estos recursos que hacen parte del Presupuesto de la Universidad Distrital Francisco José de Caldas” (Anexos No. 3 y 4). </w:t>
      </w:r>
    </w:p>
    <w:p w14:paraId="08A5492E" w14:textId="77777777" w:rsidR="00904225" w:rsidRDefault="00904225" w:rsidP="007101A1">
      <w:pPr>
        <w:spacing w:after="0" w:line="240" w:lineRule="auto"/>
        <w:ind w:right="-568"/>
        <w:jc w:val="both"/>
        <w:rPr>
          <w:rFonts w:ascii="Arial" w:hAnsi="Arial" w:cs="Arial"/>
          <w:sz w:val="24"/>
          <w:szCs w:val="24"/>
        </w:rPr>
      </w:pPr>
    </w:p>
    <w:p w14:paraId="7CD0D9C9" w14:textId="17AA3C1B" w:rsidR="00AD744D" w:rsidRDefault="005E3B0D" w:rsidP="007101A1">
      <w:pPr>
        <w:spacing w:after="0" w:line="240" w:lineRule="auto"/>
        <w:ind w:right="-568"/>
        <w:jc w:val="both"/>
        <w:rPr>
          <w:rFonts w:ascii="Arial" w:hAnsi="Arial" w:cs="Arial"/>
          <w:sz w:val="24"/>
          <w:szCs w:val="24"/>
        </w:rPr>
      </w:pPr>
      <w:r>
        <w:rPr>
          <w:rFonts w:ascii="Arial" w:hAnsi="Arial" w:cs="Arial"/>
          <w:sz w:val="24"/>
          <w:szCs w:val="24"/>
        </w:rPr>
        <w:t xml:space="preserve">Frente al manejo </w:t>
      </w:r>
      <w:r w:rsidR="00904225" w:rsidRPr="004625EF">
        <w:rPr>
          <w:rFonts w:ascii="Arial" w:hAnsi="Arial" w:cs="Arial"/>
          <w:sz w:val="24"/>
          <w:szCs w:val="24"/>
        </w:rPr>
        <w:t xml:space="preserve">presupuestal de estos recursos la Dirección Distrital de Presupuesto </w:t>
      </w:r>
      <w:r>
        <w:rPr>
          <w:rFonts w:ascii="Arial" w:hAnsi="Arial" w:cs="Arial"/>
          <w:sz w:val="24"/>
          <w:szCs w:val="24"/>
        </w:rPr>
        <w:t xml:space="preserve">dijo que </w:t>
      </w:r>
      <w:r w:rsidR="00904225">
        <w:rPr>
          <w:rFonts w:ascii="Arial" w:hAnsi="Arial" w:cs="Arial"/>
          <w:sz w:val="24"/>
          <w:szCs w:val="24"/>
        </w:rPr>
        <w:t>[…]</w:t>
      </w:r>
      <w:r w:rsidR="00904225" w:rsidRPr="004625EF">
        <w:rPr>
          <w:rFonts w:ascii="Arial" w:hAnsi="Arial" w:cs="Arial"/>
          <w:i/>
          <w:iCs/>
          <w:sz w:val="24"/>
          <w:szCs w:val="24"/>
        </w:rPr>
        <w:t>los recursos correspondientes al CREE dirigidos a la Educación Superior, recibidos por la Universidad Distrital se incorporan en el presupuesto de la Universidad Distrital como recursos administrados, es decir son recursos propios de la Universidad, y no pasan por el presupuesto de la Administración Central”.</w:t>
      </w:r>
      <w:r w:rsidR="00904225" w:rsidRPr="004625EF">
        <w:rPr>
          <w:rFonts w:ascii="Arial" w:hAnsi="Arial" w:cs="Arial"/>
          <w:sz w:val="24"/>
          <w:szCs w:val="24"/>
        </w:rPr>
        <w:t xml:space="preserve"> </w:t>
      </w:r>
    </w:p>
    <w:p w14:paraId="6D37DCF9" w14:textId="77777777" w:rsidR="00AD744D" w:rsidRDefault="00AD744D" w:rsidP="007101A1">
      <w:pPr>
        <w:spacing w:after="0" w:line="240" w:lineRule="auto"/>
        <w:ind w:right="-568"/>
        <w:jc w:val="both"/>
        <w:rPr>
          <w:rFonts w:ascii="Arial" w:hAnsi="Arial" w:cs="Arial"/>
          <w:sz w:val="24"/>
          <w:szCs w:val="24"/>
        </w:rPr>
      </w:pPr>
    </w:p>
    <w:p w14:paraId="4D632A09" w14:textId="7BFA270B" w:rsidR="00904225" w:rsidRPr="00904225" w:rsidRDefault="00AD744D" w:rsidP="007101A1">
      <w:pPr>
        <w:spacing w:after="0" w:line="240" w:lineRule="auto"/>
        <w:ind w:right="-568"/>
        <w:jc w:val="both"/>
        <w:rPr>
          <w:rFonts w:ascii="Arial" w:hAnsi="Arial" w:cs="Arial"/>
          <w:sz w:val="24"/>
          <w:szCs w:val="24"/>
          <w:shd w:val="clear" w:color="auto" w:fill="FFFFFF"/>
        </w:rPr>
      </w:pPr>
      <w:r>
        <w:rPr>
          <w:rFonts w:ascii="Arial" w:hAnsi="Arial" w:cs="Arial"/>
          <w:sz w:val="24"/>
          <w:szCs w:val="24"/>
        </w:rPr>
        <w:t>Refiere que</w:t>
      </w:r>
      <w:r w:rsidR="005E3B0D">
        <w:rPr>
          <w:rFonts w:ascii="Arial" w:hAnsi="Arial" w:cs="Arial"/>
          <w:sz w:val="24"/>
          <w:szCs w:val="24"/>
        </w:rPr>
        <w:t xml:space="preserve"> de acuerdo con el </w:t>
      </w:r>
      <w:r w:rsidR="00904225" w:rsidRPr="004625EF">
        <w:rPr>
          <w:rFonts w:ascii="Arial" w:hAnsi="Arial" w:cs="Arial"/>
          <w:sz w:val="24"/>
          <w:szCs w:val="24"/>
        </w:rPr>
        <w:t>artículo 1.4.2.2.31 del Decreto Único Reglamentario 1625 de 2016, los recursos propios de los establecimientos públicos no están sujetos a la exención del Gravamen de Movimientos Financieros al que hace referencia el numeral 9 del artículo 879 del Estatuto Tributario Nacional, sobre el cual tiene competencia la Tesorera Distrital, como se desprende de su lectura</w:t>
      </w:r>
      <w:r>
        <w:rPr>
          <w:rFonts w:ascii="Arial" w:hAnsi="Arial" w:cs="Arial"/>
          <w:sz w:val="24"/>
          <w:szCs w:val="24"/>
        </w:rPr>
        <w:t>.</w:t>
      </w:r>
      <w:r w:rsidR="005E3B0D">
        <w:rPr>
          <w:rFonts w:ascii="Arial" w:hAnsi="Arial" w:cs="Arial"/>
          <w:sz w:val="24"/>
          <w:szCs w:val="24"/>
        </w:rPr>
        <w:t xml:space="preserve">  Por lo anterior, surge el interrogante si hay lugar o no a marcar como exenta la cuenta bancaria en donde se manejan los recursos provenientes del impuesto sobre la renta para la equidad CREE.</w:t>
      </w:r>
    </w:p>
    <w:p w14:paraId="19D8BB82" w14:textId="77777777" w:rsidR="00904225" w:rsidRPr="0018634D" w:rsidRDefault="00904225" w:rsidP="007101A1">
      <w:pPr>
        <w:spacing w:after="0" w:line="240" w:lineRule="auto"/>
        <w:ind w:right="-568"/>
        <w:jc w:val="both"/>
        <w:rPr>
          <w:rFonts w:ascii="Arial" w:hAnsi="Arial" w:cs="Arial"/>
          <w:sz w:val="24"/>
          <w:szCs w:val="24"/>
          <w:shd w:val="clear" w:color="auto" w:fill="FFFFFF"/>
        </w:rPr>
      </w:pPr>
    </w:p>
    <w:p w14:paraId="707DD0ED" w14:textId="03D77299" w:rsidR="00E36365" w:rsidRPr="0018634D" w:rsidRDefault="00680357" w:rsidP="007101A1">
      <w:pPr>
        <w:spacing w:after="0" w:line="240" w:lineRule="auto"/>
        <w:ind w:right="-568"/>
        <w:jc w:val="both"/>
        <w:rPr>
          <w:rFonts w:ascii="Arial" w:hAnsi="Arial" w:cs="Arial"/>
          <w:b/>
          <w:bCs/>
          <w:sz w:val="24"/>
          <w:szCs w:val="24"/>
          <w:shd w:val="clear" w:color="auto" w:fill="FFFFFF"/>
        </w:rPr>
      </w:pPr>
      <w:r w:rsidRPr="0018634D">
        <w:rPr>
          <w:rFonts w:ascii="Arial" w:hAnsi="Arial" w:cs="Arial"/>
          <w:b/>
          <w:bCs/>
          <w:sz w:val="24"/>
          <w:szCs w:val="24"/>
          <w:shd w:val="clear" w:color="auto" w:fill="FFFFFF"/>
        </w:rPr>
        <w:t>CONSIDERACIONES</w:t>
      </w:r>
    </w:p>
    <w:p w14:paraId="5703F4CA" w14:textId="77306274" w:rsidR="00680357" w:rsidRDefault="00680357" w:rsidP="007101A1">
      <w:pPr>
        <w:spacing w:after="0" w:line="240" w:lineRule="auto"/>
        <w:ind w:right="-568"/>
        <w:jc w:val="both"/>
        <w:rPr>
          <w:rFonts w:ascii="Arial" w:hAnsi="Arial" w:cs="Arial"/>
          <w:b/>
          <w:bCs/>
          <w:sz w:val="24"/>
          <w:szCs w:val="24"/>
          <w:shd w:val="clear" w:color="auto" w:fill="FFFFFF"/>
        </w:rPr>
      </w:pPr>
    </w:p>
    <w:p w14:paraId="5DC26048" w14:textId="233782FA" w:rsidR="006903BD" w:rsidRPr="00B67D92" w:rsidRDefault="00CC334F" w:rsidP="007101A1">
      <w:pPr>
        <w:shd w:val="clear" w:color="auto" w:fill="FFFFFF"/>
        <w:spacing w:after="0" w:line="240" w:lineRule="auto"/>
        <w:ind w:right="-568"/>
        <w:jc w:val="both"/>
        <w:rPr>
          <w:rFonts w:ascii="Arial" w:hAnsi="Arial" w:cs="Arial"/>
          <w:sz w:val="24"/>
          <w:szCs w:val="24"/>
        </w:rPr>
      </w:pPr>
      <w:r>
        <w:rPr>
          <w:rFonts w:ascii="Arial" w:hAnsi="Arial" w:cs="Arial"/>
          <w:sz w:val="24"/>
          <w:szCs w:val="24"/>
        </w:rPr>
        <w:t>S</w:t>
      </w:r>
      <w:r w:rsidR="006903BD" w:rsidRPr="00B67D92">
        <w:rPr>
          <w:rFonts w:ascii="Arial" w:hAnsi="Arial" w:cs="Arial"/>
          <w:sz w:val="24"/>
          <w:szCs w:val="24"/>
        </w:rPr>
        <w:t xml:space="preserve">e precisa </w:t>
      </w:r>
      <w:r w:rsidR="00B3701E">
        <w:rPr>
          <w:rFonts w:ascii="Arial" w:hAnsi="Arial" w:cs="Arial"/>
          <w:sz w:val="24"/>
          <w:szCs w:val="24"/>
        </w:rPr>
        <w:t xml:space="preserve">que </w:t>
      </w:r>
      <w:r>
        <w:rPr>
          <w:rFonts w:ascii="Arial" w:hAnsi="Arial" w:cs="Arial"/>
          <w:sz w:val="24"/>
          <w:szCs w:val="24"/>
        </w:rPr>
        <w:t>e</w:t>
      </w:r>
      <w:r w:rsidR="006903BD" w:rsidRPr="00B67D92">
        <w:rPr>
          <w:rFonts w:ascii="Arial" w:hAnsi="Arial" w:cs="Arial"/>
          <w:sz w:val="24"/>
          <w:szCs w:val="24"/>
        </w:rPr>
        <w:t xml:space="preserve">l Gravamen a los Movimientos </w:t>
      </w:r>
      <w:r w:rsidR="006903BD" w:rsidRPr="006903BD">
        <w:rPr>
          <w:rFonts w:ascii="Arial" w:hAnsi="Arial" w:cs="Arial"/>
          <w:sz w:val="24"/>
          <w:szCs w:val="24"/>
        </w:rPr>
        <w:t>Financieros</w:t>
      </w:r>
      <w:r w:rsidR="006903BD" w:rsidRPr="00B67D92">
        <w:rPr>
          <w:rFonts w:ascii="Arial" w:hAnsi="Arial" w:cs="Arial"/>
          <w:sz w:val="24"/>
          <w:szCs w:val="24"/>
        </w:rPr>
        <w:t xml:space="preserve"> es un tributo del orden nacional, </w:t>
      </w:r>
      <w:r w:rsidR="00B3701E">
        <w:rPr>
          <w:rFonts w:ascii="Arial" w:hAnsi="Arial" w:cs="Arial"/>
          <w:sz w:val="24"/>
          <w:szCs w:val="24"/>
        </w:rPr>
        <w:t xml:space="preserve">cuya autoridad doctrinal es la DIAN y, en consecuencia, esta Dirección </w:t>
      </w:r>
      <w:r w:rsidR="006903BD" w:rsidRPr="00B67D92">
        <w:rPr>
          <w:rFonts w:ascii="Arial" w:hAnsi="Arial" w:cs="Arial"/>
          <w:sz w:val="24"/>
          <w:szCs w:val="24"/>
        </w:rPr>
        <w:t>se basa</w:t>
      </w:r>
      <w:r w:rsidR="00B3701E">
        <w:rPr>
          <w:rFonts w:ascii="Arial" w:hAnsi="Arial" w:cs="Arial"/>
          <w:sz w:val="24"/>
          <w:szCs w:val="24"/>
        </w:rPr>
        <w:t>rá</w:t>
      </w:r>
      <w:r w:rsidR="006903BD" w:rsidRPr="00B67D92">
        <w:rPr>
          <w:rFonts w:ascii="Arial" w:hAnsi="Arial" w:cs="Arial"/>
          <w:sz w:val="24"/>
          <w:szCs w:val="24"/>
        </w:rPr>
        <w:t xml:space="preserve"> en las normas del Estatuto Tributario Nacional, la </w:t>
      </w:r>
      <w:proofErr w:type="gramStart"/>
      <w:r w:rsidR="006903BD" w:rsidRPr="00B67D92">
        <w:rPr>
          <w:rFonts w:ascii="Arial" w:hAnsi="Arial" w:cs="Arial"/>
          <w:sz w:val="24"/>
          <w:szCs w:val="24"/>
        </w:rPr>
        <w:t xml:space="preserve">jurisprudencia tributaria y la doctrina </w:t>
      </w:r>
      <w:r w:rsidR="001B0424">
        <w:rPr>
          <w:rFonts w:ascii="Arial" w:hAnsi="Arial" w:cs="Arial"/>
          <w:sz w:val="24"/>
          <w:szCs w:val="24"/>
        </w:rPr>
        <w:t>tributaria</w:t>
      </w:r>
      <w:proofErr w:type="gramEnd"/>
      <w:r w:rsidR="001B0424">
        <w:rPr>
          <w:rFonts w:ascii="Arial" w:hAnsi="Arial" w:cs="Arial"/>
          <w:sz w:val="24"/>
          <w:szCs w:val="24"/>
        </w:rPr>
        <w:t xml:space="preserve"> </w:t>
      </w:r>
      <w:r w:rsidR="006903BD" w:rsidRPr="00B67D92">
        <w:rPr>
          <w:rFonts w:ascii="Arial" w:hAnsi="Arial" w:cs="Arial"/>
          <w:sz w:val="24"/>
          <w:szCs w:val="24"/>
        </w:rPr>
        <w:t>emitida por la DIAN.</w:t>
      </w:r>
    </w:p>
    <w:p w14:paraId="7EE805B0" w14:textId="77777777" w:rsidR="006903BD" w:rsidRDefault="006903BD" w:rsidP="007101A1">
      <w:pPr>
        <w:spacing w:after="0" w:line="240" w:lineRule="auto"/>
        <w:ind w:right="-568"/>
        <w:jc w:val="both"/>
        <w:rPr>
          <w:rFonts w:ascii="Arial" w:hAnsi="Arial" w:cs="Arial"/>
          <w:sz w:val="24"/>
          <w:szCs w:val="24"/>
        </w:rPr>
      </w:pPr>
    </w:p>
    <w:p w14:paraId="35D44427" w14:textId="7F2FE080" w:rsidR="006903BD" w:rsidRPr="0018634D" w:rsidRDefault="006903BD" w:rsidP="007101A1">
      <w:pPr>
        <w:spacing w:after="0" w:line="240" w:lineRule="auto"/>
        <w:ind w:right="-568"/>
        <w:jc w:val="both"/>
        <w:rPr>
          <w:rFonts w:ascii="Arial" w:hAnsi="Arial" w:cs="Arial"/>
          <w:sz w:val="24"/>
          <w:szCs w:val="24"/>
          <w:shd w:val="clear" w:color="auto" w:fill="FFFFFF"/>
        </w:rPr>
      </w:pPr>
      <w:r>
        <w:rPr>
          <w:rFonts w:ascii="Arial" w:hAnsi="Arial" w:cs="Arial"/>
          <w:sz w:val="24"/>
          <w:szCs w:val="24"/>
        </w:rPr>
        <w:t>Ahora bien, c</w:t>
      </w:r>
      <w:r w:rsidRPr="00B67D92">
        <w:rPr>
          <w:rFonts w:ascii="Arial" w:hAnsi="Arial" w:cs="Arial"/>
          <w:sz w:val="24"/>
          <w:szCs w:val="24"/>
        </w:rPr>
        <w:t>on el propósito de resolver su consulta, procederemos a referirnos al impuesto sobre la renta para la equidad, luego indicaremos lo relacionado con la exención al gravamen a los movimientos financieros indicada en el numeral 9 del artículo 879, su aplicabilidad frente a los recursos transferidos por la Nación provenientes del citado impuesto a la Universidad Francisco José de Caldas y</w:t>
      </w:r>
      <w:r w:rsidRPr="0018634D">
        <w:rPr>
          <w:rFonts w:ascii="Arial" w:hAnsi="Arial" w:cs="Arial"/>
          <w:sz w:val="24"/>
          <w:szCs w:val="24"/>
          <w:shd w:val="clear" w:color="auto" w:fill="FFFFFF"/>
        </w:rPr>
        <w:t xml:space="preserve"> finalizaremos con las conclusiones.</w:t>
      </w:r>
    </w:p>
    <w:p w14:paraId="163DF634" w14:textId="58B3955F" w:rsidR="006903BD" w:rsidRDefault="006903BD" w:rsidP="007101A1">
      <w:pPr>
        <w:spacing w:after="0" w:line="240" w:lineRule="auto"/>
        <w:ind w:right="-568"/>
        <w:jc w:val="both"/>
        <w:rPr>
          <w:rFonts w:ascii="Arial" w:hAnsi="Arial" w:cs="Arial"/>
          <w:b/>
          <w:bCs/>
          <w:sz w:val="24"/>
          <w:szCs w:val="24"/>
          <w:shd w:val="clear" w:color="auto" w:fill="FFFFFF"/>
        </w:rPr>
      </w:pPr>
    </w:p>
    <w:p w14:paraId="7C7654A5" w14:textId="77777777" w:rsidR="00406833" w:rsidRPr="0018634D" w:rsidRDefault="00406833" w:rsidP="007101A1">
      <w:pPr>
        <w:spacing w:after="0" w:line="240" w:lineRule="auto"/>
        <w:ind w:right="-568"/>
        <w:jc w:val="both"/>
        <w:rPr>
          <w:rFonts w:ascii="Arial" w:hAnsi="Arial" w:cs="Arial"/>
          <w:b/>
          <w:bCs/>
          <w:sz w:val="24"/>
          <w:szCs w:val="24"/>
          <w:shd w:val="clear" w:color="auto" w:fill="FFFFFF"/>
        </w:rPr>
      </w:pPr>
    </w:p>
    <w:p w14:paraId="0F3A1002" w14:textId="0E26138F" w:rsidR="00680357" w:rsidRPr="004625EF" w:rsidRDefault="00680357" w:rsidP="007101A1">
      <w:pPr>
        <w:pStyle w:val="Prrafodelista"/>
        <w:numPr>
          <w:ilvl w:val="0"/>
          <w:numId w:val="3"/>
        </w:numPr>
        <w:ind w:right="-568"/>
        <w:jc w:val="both"/>
        <w:rPr>
          <w:rFonts w:ascii="Arial" w:hAnsi="Arial" w:cs="Arial"/>
          <w:b/>
          <w:bCs/>
          <w:shd w:val="clear" w:color="auto" w:fill="FFFFFF"/>
        </w:rPr>
      </w:pPr>
      <w:r w:rsidRPr="004625EF">
        <w:rPr>
          <w:rFonts w:ascii="Arial" w:hAnsi="Arial" w:cs="Arial"/>
          <w:b/>
          <w:bCs/>
          <w:shd w:val="clear" w:color="auto" w:fill="FFFFFF"/>
        </w:rPr>
        <w:t>Del impuesto sobre la renta para la equidad</w:t>
      </w:r>
    </w:p>
    <w:p w14:paraId="1183C3EF" w14:textId="070064D2" w:rsidR="00E36365" w:rsidRPr="0018634D" w:rsidRDefault="00E36365" w:rsidP="007101A1">
      <w:pPr>
        <w:spacing w:after="0" w:line="240" w:lineRule="auto"/>
        <w:ind w:right="-568"/>
        <w:jc w:val="both"/>
        <w:rPr>
          <w:rFonts w:ascii="Arial" w:hAnsi="Arial" w:cs="Arial"/>
          <w:sz w:val="24"/>
          <w:szCs w:val="24"/>
          <w:shd w:val="clear" w:color="auto" w:fill="FFFFFF"/>
        </w:rPr>
      </w:pPr>
    </w:p>
    <w:p w14:paraId="2096BA5E" w14:textId="25E24B73" w:rsidR="004A556C" w:rsidRPr="0018634D" w:rsidRDefault="000101FB" w:rsidP="007101A1">
      <w:pPr>
        <w:spacing w:after="0" w:line="240" w:lineRule="auto"/>
        <w:ind w:right="-568"/>
        <w:jc w:val="both"/>
        <w:rPr>
          <w:rFonts w:ascii="Arial" w:hAnsi="Arial" w:cs="Arial"/>
          <w:sz w:val="24"/>
          <w:szCs w:val="24"/>
        </w:rPr>
      </w:pPr>
      <w:r w:rsidRPr="0018634D">
        <w:rPr>
          <w:rFonts w:ascii="Arial" w:hAnsi="Arial" w:cs="Arial"/>
          <w:sz w:val="24"/>
          <w:szCs w:val="24"/>
          <w:shd w:val="clear" w:color="auto" w:fill="FFFFFF"/>
        </w:rPr>
        <w:lastRenderedPageBreak/>
        <w:t xml:space="preserve">El </w:t>
      </w:r>
      <w:r w:rsidR="00936A0B" w:rsidRPr="0018634D">
        <w:rPr>
          <w:rFonts w:ascii="Arial" w:hAnsi="Arial" w:cs="Arial"/>
          <w:sz w:val="24"/>
          <w:szCs w:val="24"/>
          <w:shd w:val="clear" w:color="auto" w:fill="FFFFFF"/>
        </w:rPr>
        <w:t xml:space="preserve">Impuesto </w:t>
      </w:r>
      <w:r w:rsidR="008E396A" w:rsidRPr="0018634D">
        <w:rPr>
          <w:rFonts w:ascii="Arial" w:hAnsi="Arial" w:cs="Arial"/>
          <w:sz w:val="24"/>
          <w:szCs w:val="24"/>
          <w:shd w:val="clear" w:color="auto" w:fill="FFFFFF"/>
        </w:rPr>
        <w:t xml:space="preserve">sobre la Renta </w:t>
      </w:r>
      <w:r w:rsidR="00936A0B" w:rsidRPr="0018634D">
        <w:rPr>
          <w:rFonts w:ascii="Arial" w:hAnsi="Arial" w:cs="Arial"/>
          <w:sz w:val="24"/>
          <w:szCs w:val="24"/>
          <w:shd w:val="clear" w:color="auto" w:fill="FFFFFF"/>
        </w:rPr>
        <w:t>para la Equidad (CREE)</w:t>
      </w:r>
      <w:r w:rsidR="006C3674" w:rsidRPr="0018634D">
        <w:rPr>
          <w:rStyle w:val="Refdenotaalpie"/>
          <w:rFonts w:ascii="Arial" w:hAnsi="Arial" w:cs="Arial"/>
          <w:sz w:val="24"/>
          <w:szCs w:val="24"/>
          <w:shd w:val="clear" w:color="auto" w:fill="FFFFFF"/>
        </w:rPr>
        <w:footnoteReference w:id="1"/>
      </w:r>
      <w:r w:rsidR="00936A0B" w:rsidRPr="0018634D">
        <w:rPr>
          <w:rFonts w:ascii="Arial" w:hAnsi="Arial" w:cs="Arial"/>
          <w:sz w:val="24"/>
          <w:szCs w:val="24"/>
          <w:shd w:val="clear" w:color="auto" w:fill="FFFFFF"/>
        </w:rPr>
        <w:t xml:space="preserve"> </w:t>
      </w:r>
      <w:r w:rsidR="006052C8" w:rsidRPr="0018634D">
        <w:rPr>
          <w:rFonts w:ascii="Arial" w:hAnsi="Arial" w:cs="Arial"/>
          <w:sz w:val="24"/>
          <w:szCs w:val="24"/>
          <w:shd w:val="clear" w:color="auto" w:fill="FFFFFF"/>
        </w:rPr>
        <w:t>fue creado a partir del 1° de enero de 2013</w:t>
      </w:r>
      <w:r w:rsidR="004A556C" w:rsidRPr="0018634D">
        <w:rPr>
          <w:rFonts w:ascii="Arial" w:hAnsi="Arial" w:cs="Arial"/>
          <w:sz w:val="24"/>
          <w:szCs w:val="24"/>
          <w:shd w:val="clear" w:color="auto" w:fill="FFFFFF"/>
        </w:rPr>
        <w:t>,</w:t>
      </w:r>
      <w:r w:rsidR="00036289" w:rsidRPr="0018634D">
        <w:rPr>
          <w:rFonts w:ascii="Arial" w:hAnsi="Arial" w:cs="Arial"/>
          <w:sz w:val="24"/>
          <w:szCs w:val="24"/>
          <w:shd w:val="clear" w:color="auto" w:fill="FFFFFF"/>
        </w:rPr>
        <w:t xml:space="preserve"> a través de</w:t>
      </w:r>
      <w:r w:rsidR="00075E33" w:rsidRPr="0018634D">
        <w:rPr>
          <w:rFonts w:ascii="Arial" w:hAnsi="Arial" w:cs="Arial"/>
          <w:sz w:val="24"/>
          <w:szCs w:val="24"/>
          <w:shd w:val="clear" w:color="auto" w:fill="FFFFFF"/>
        </w:rPr>
        <w:t>l artículo 20</w:t>
      </w:r>
      <w:r w:rsidR="00075E33" w:rsidRPr="0018634D">
        <w:rPr>
          <w:rStyle w:val="Refdenotaalpie"/>
          <w:rFonts w:ascii="Arial" w:hAnsi="Arial" w:cs="Arial"/>
          <w:sz w:val="24"/>
          <w:szCs w:val="24"/>
          <w:shd w:val="clear" w:color="auto" w:fill="FFFFFF"/>
        </w:rPr>
        <w:footnoteReference w:id="2"/>
      </w:r>
      <w:r w:rsidR="00075E33" w:rsidRPr="0018634D">
        <w:rPr>
          <w:rFonts w:ascii="Arial" w:hAnsi="Arial" w:cs="Arial"/>
          <w:sz w:val="24"/>
          <w:szCs w:val="24"/>
          <w:shd w:val="clear" w:color="auto" w:fill="FFFFFF"/>
        </w:rPr>
        <w:t xml:space="preserve"> </w:t>
      </w:r>
      <w:r w:rsidR="004A556C" w:rsidRPr="0018634D">
        <w:rPr>
          <w:rFonts w:ascii="Arial" w:hAnsi="Arial" w:cs="Arial"/>
          <w:sz w:val="24"/>
          <w:szCs w:val="24"/>
          <w:shd w:val="clear" w:color="auto" w:fill="FFFFFF"/>
        </w:rPr>
        <w:t xml:space="preserve">y siguientes </w:t>
      </w:r>
      <w:r w:rsidR="00075E33" w:rsidRPr="0018634D">
        <w:rPr>
          <w:rFonts w:ascii="Arial" w:hAnsi="Arial" w:cs="Arial"/>
          <w:sz w:val="24"/>
          <w:szCs w:val="24"/>
          <w:shd w:val="clear" w:color="auto" w:fill="FFFFFF"/>
        </w:rPr>
        <w:t xml:space="preserve">de </w:t>
      </w:r>
      <w:r w:rsidR="00036289" w:rsidRPr="0018634D">
        <w:rPr>
          <w:rFonts w:ascii="Arial" w:hAnsi="Arial" w:cs="Arial"/>
          <w:sz w:val="24"/>
          <w:szCs w:val="24"/>
          <w:shd w:val="clear" w:color="auto" w:fill="FFFFFF"/>
        </w:rPr>
        <w:t>la Ley 1607 de 2012</w:t>
      </w:r>
      <w:r w:rsidR="004A556C" w:rsidRPr="0018634D">
        <w:rPr>
          <w:rStyle w:val="Refdenotaalpie"/>
          <w:rFonts w:ascii="Arial" w:hAnsi="Arial" w:cs="Arial"/>
          <w:sz w:val="24"/>
          <w:szCs w:val="24"/>
          <w:shd w:val="clear" w:color="auto" w:fill="FFFFFF"/>
        </w:rPr>
        <w:footnoteReference w:id="3"/>
      </w:r>
      <w:r w:rsidR="004A556C" w:rsidRPr="0018634D">
        <w:rPr>
          <w:rFonts w:ascii="Arial" w:hAnsi="Arial" w:cs="Arial"/>
          <w:sz w:val="24"/>
          <w:szCs w:val="24"/>
          <w:shd w:val="clear" w:color="auto" w:fill="FFFFFF"/>
        </w:rPr>
        <w:t>,</w:t>
      </w:r>
      <w:r w:rsidR="00036289" w:rsidRPr="0018634D">
        <w:rPr>
          <w:rFonts w:ascii="Arial" w:hAnsi="Arial" w:cs="Arial"/>
          <w:sz w:val="24"/>
          <w:szCs w:val="24"/>
          <w:shd w:val="clear" w:color="auto" w:fill="FFFFFF"/>
        </w:rPr>
        <w:t xml:space="preserve"> </w:t>
      </w:r>
      <w:r w:rsidR="004A556C" w:rsidRPr="0018634D">
        <w:rPr>
          <w:rFonts w:ascii="Arial" w:hAnsi="Arial" w:cs="Arial"/>
          <w:sz w:val="24"/>
          <w:szCs w:val="24"/>
        </w:rPr>
        <w:t xml:space="preserve"> como el aporte con el que contribuyen las personas jurídicas declarantes del impuesto sobre la renta, nacionales y extranjeras, en beneficio de los trabajadores, la generación de empleo y la inversión social. </w:t>
      </w:r>
    </w:p>
    <w:p w14:paraId="51F7E46F" w14:textId="5C71BED4" w:rsidR="00F865F9" w:rsidRPr="0018634D" w:rsidRDefault="00F865F9" w:rsidP="007101A1">
      <w:pPr>
        <w:spacing w:after="0" w:line="240" w:lineRule="auto"/>
        <w:ind w:right="-568"/>
        <w:jc w:val="both"/>
        <w:rPr>
          <w:rFonts w:ascii="Arial" w:hAnsi="Arial" w:cs="Arial"/>
          <w:sz w:val="24"/>
          <w:szCs w:val="24"/>
          <w:shd w:val="clear" w:color="auto" w:fill="FFFFFF"/>
        </w:rPr>
      </w:pPr>
    </w:p>
    <w:p w14:paraId="75D8810A" w14:textId="7C8E690D" w:rsidR="00C40B73" w:rsidRPr="0018634D" w:rsidRDefault="00F2356A" w:rsidP="007101A1">
      <w:pPr>
        <w:spacing w:after="0" w:line="240" w:lineRule="auto"/>
        <w:ind w:right="-568"/>
        <w:jc w:val="both"/>
        <w:rPr>
          <w:rFonts w:ascii="Arial" w:hAnsi="Arial" w:cs="Arial"/>
          <w:sz w:val="24"/>
          <w:szCs w:val="24"/>
          <w:shd w:val="clear" w:color="auto" w:fill="FFFFFF"/>
        </w:rPr>
      </w:pPr>
      <w:r w:rsidRPr="0018634D">
        <w:rPr>
          <w:rFonts w:ascii="Arial" w:hAnsi="Arial" w:cs="Arial"/>
          <w:sz w:val="24"/>
          <w:szCs w:val="24"/>
          <w:shd w:val="clear" w:color="auto" w:fill="FFFFFF"/>
        </w:rPr>
        <w:t xml:space="preserve">La </w:t>
      </w:r>
      <w:r w:rsidR="009B52E2" w:rsidRPr="0018634D">
        <w:rPr>
          <w:rFonts w:ascii="Arial" w:hAnsi="Arial" w:cs="Arial"/>
          <w:sz w:val="24"/>
          <w:szCs w:val="24"/>
          <w:shd w:val="clear" w:color="auto" w:fill="FFFFFF"/>
        </w:rPr>
        <w:t xml:space="preserve">tarifa y la </w:t>
      </w:r>
      <w:r w:rsidRPr="0018634D">
        <w:rPr>
          <w:rFonts w:ascii="Arial" w:hAnsi="Arial" w:cs="Arial"/>
          <w:sz w:val="24"/>
          <w:szCs w:val="24"/>
          <w:shd w:val="clear" w:color="auto" w:fill="FFFFFF"/>
        </w:rPr>
        <w:t xml:space="preserve">destinación de este tributo fue indicada en </w:t>
      </w:r>
      <w:r w:rsidR="009B52E2" w:rsidRPr="0018634D">
        <w:rPr>
          <w:rFonts w:ascii="Arial" w:hAnsi="Arial" w:cs="Arial"/>
          <w:sz w:val="24"/>
          <w:szCs w:val="24"/>
          <w:shd w:val="clear" w:color="auto" w:fill="FFFFFF"/>
        </w:rPr>
        <w:t xml:space="preserve">los </w:t>
      </w:r>
      <w:r w:rsidRPr="0018634D">
        <w:rPr>
          <w:rFonts w:ascii="Arial" w:hAnsi="Arial" w:cs="Arial"/>
          <w:sz w:val="24"/>
          <w:szCs w:val="24"/>
          <w:shd w:val="clear" w:color="auto" w:fill="FFFFFF"/>
        </w:rPr>
        <w:t>artículo</w:t>
      </w:r>
      <w:r w:rsidR="009B52E2" w:rsidRPr="0018634D">
        <w:rPr>
          <w:rFonts w:ascii="Arial" w:hAnsi="Arial" w:cs="Arial"/>
          <w:sz w:val="24"/>
          <w:szCs w:val="24"/>
          <w:shd w:val="clear" w:color="auto" w:fill="FFFFFF"/>
        </w:rPr>
        <w:t>s</w:t>
      </w:r>
      <w:r w:rsidRPr="0018634D">
        <w:rPr>
          <w:rFonts w:ascii="Arial" w:hAnsi="Arial" w:cs="Arial"/>
          <w:sz w:val="24"/>
          <w:szCs w:val="24"/>
          <w:shd w:val="clear" w:color="auto" w:fill="FFFFFF"/>
        </w:rPr>
        <w:t xml:space="preserve"> </w:t>
      </w:r>
      <w:r w:rsidR="009B52E2" w:rsidRPr="0018634D">
        <w:rPr>
          <w:rFonts w:ascii="Arial" w:hAnsi="Arial" w:cs="Arial"/>
          <w:sz w:val="24"/>
          <w:szCs w:val="24"/>
          <w:shd w:val="clear" w:color="auto" w:fill="FFFFFF"/>
        </w:rPr>
        <w:t xml:space="preserve">23 y </w:t>
      </w:r>
      <w:r w:rsidRPr="0018634D">
        <w:rPr>
          <w:rFonts w:ascii="Arial" w:hAnsi="Arial" w:cs="Arial"/>
          <w:sz w:val="24"/>
          <w:szCs w:val="24"/>
          <w:shd w:val="clear" w:color="auto" w:fill="FFFFFF"/>
        </w:rPr>
        <w:t xml:space="preserve">24 de la mencionada ley. </w:t>
      </w:r>
      <w:r w:rsidR="00537DF2">
        <w:rPr>
          <w:rFonts w:ascii="Arial" w:hAnsi="Arial" w:cs="Arial"/>
          <w:sz w:val="24"/>
          <w:szCs w:val="24"/>
          <w:shd w:val="clear" w:color="auto" w:fill="FFFFFF"/>
        </w:rPr>
        <w:t>Aunque estas normas fueron derogadas por e</w:t>
      </w:r>
      <w:r w:rsidR="00C40B73" w:rsidRPr="0018634D">
        <w:rPr>
          <w:rFonts w:ascii="Arial" w:hAnsi="Arial" w:cs="Arial"/>
          <w:sz w:val="24"/>
          <w:szCs w:val="24"/>
          <w:shd w:val="clear" w:color="auto" w:fill="FFFFFF"/>
        </w:rPr>
        <w:t>l artículo 376 de la Ley 1819 de 2016</w:t>
      </w:r>
      <w:r w:rsidRPr="0018634D">
        <w:rPr>
          <w:rFonts w:ascii="Arial" w:hAnsi="Arial" w:cs="Arial"/>
          <w:sz w:val="24"/>
          <w:szCs w:val="24"/>
          <w:shd w:val="clear" w:color="auto" w:fill="FFFFFF"/>
        </w:rPr>
        <w:t>, las traemos para efectos de resolver la presente consulta:</w:t>
      </w:r>
    </w:p>
    <w:p w14:paraId="144F8C82" w14:textId="77777777" w:rsidR="00C40B73" w:rsidRPr="0018634D" w:rsidRDefault="00C40B73" w:rsidP="007101A1">
      <w:pPr>
        <w:spacing w:after="0" w:line="240" w:lineRule="auto"/>
        <w:ind w:right="-568"/>
        <w:jc w:val="both"/>
        <w:rPr>
          <w:rFonts w:ascii="Arial" w:hAnsi="Arial" w:cs="Arial"/>
          <w:sz w:val="24"/>
          <w:szCs w:val="24"/>
          <w:shd w:val="clear" w:color="auto" w:fill="FFFFFF"/>
        </w:rPr>
      </w:pPr>
    </w:p>
    <w:p w14:paraId="6308463B" w14:textId="33856D01" w:rsidR="00F865F9" w:rsidRPr="0018634D" w:rsidRDefault="00F865F9" w:rsidP="007101A1">
      <w:pPr>
        <w:spacing w:after="0" w:line="240" w:lineRule="auto"/>
        <w:ind w:left="284" w:right="-568"/>
        <w:jc w:val="both"/>
        <w:rPr>
          <w:rFonts w:ascii="Arial" w:hAnsi="Arial" w:cs="Arial"/>
          <w:shd w:val="clear" w:color="auto" w:fill="FFFFFF"/>
        </w:rPr>
      </w:pPr>
      <w:r w:rsidRPr="0018634D">
        <w:rPr>
          <w:rFonts w:ascii="Arial" w:hAnsi="Arial" w:cs="Arial"/>
          <w:b/>
          <w:bCs/>
          <w:shd w:val="clear" w:color="auto" w:fill="FFFFFF"/>
        </w:rPr>
        <w:t>A</w:t>
      </w:r>
      <w:r w:rsidR="00B3701E" w:rsidRPr="0018634D">
        <w:rPr>
          <w:rFonts w:ascii="Arial" w:hAnsi="Arial" w:cs="Arial"/>
          <w:b/>
          <w:bCs/>
          <w:shd w:val="clear" w:color="auto" w:fill="FFFFFF"/>
        </w:rPr>
        <w:t>rtículo</w:t>
      </w:r>
      <w:r w:rsidRPr="0018634D">
        <w:rPr>
          <w:rFonts w:ascii="Arial" w:hAnsi="Arial" w:cs="Arial"/>
          <w:b/>
          <w:bCs/>
          <w:shd w:val="clear" w:color="auto" w:fill="FFFFFF"/>
        </w:rPr>
        <w:t xml:space="preserve"> 20. IMPUESTO SOBRE LA RENTA PARA LA EQUIDAD (CREE).</w:t>
      </w:r>
      <w:r w:rsidRPr="0018634D">
        <w:rPr>
          <w:rFonts w:ascii="Arial" w:hAnsi="Arial" w:cs="Arial"/>
          <w:shd w:val="clear" w:color="auto" w:fill="FFFFFF"/>
        </w:rPr>
        <w:t xml:space="preserve"> </w:t>
      </w:r>
      <w:r w:rsidR="009443FC" w:rsidRPr="0018634D">
        <w:rPr>
          <w:rFonts w:ascii="Arial" w:hAnsi="Arial" w:cs="Arial"/>
          <w:shd w:val="clear" w:color="auto" w:fill="FFFFFF"/>
        </w:rPr>
        <w:t>(</w:t>
      </w:r>
      <w:r w:rsidRPr="0018634D">
        <w:rPr>
          <w:rFonts w:ascii="Arial" w:hAnsi="Arial" w:cs="Arial"/>
          <w:shd w:val="clear" w:color="auto" w:fill="FFFFFF"/>
        </w:rPr>
        <w:t>Artículo derogado por el artículo 376 de la Ley 1819 de 2016</w:t>
      </w:r>
      <w:r w:rsidR="009443FC" w:rsidRPr="0018634D">
        <w:rPr>
          <w:rFonts w:ascii="Arial" w:hAnsi="Arial" w:cs="Arial"/>
          <w:shd w:val="clear" w:color="auto" w:fill="FFFFFF"/>
        </w:rPr>
        <w:t>)</w:t>
      </w:r>
    </w:p>
    <w:p w14:paraId="4F7B2843" w14:textId="77777777" w:rsidR="00F865F9" w:rsidRPr="0018634D" w:rsidRDefault="00F865F9" w:rsidP="007101A1">
      <w:pPr>
        <w:spacing w:after="0" w:line="240" w:lineRule="auto"/>
        <w:ind w:left="284" w:right="-568"/>
        <w:jc w:val="both"/>
        <w:rPr>
          <w:rFonts w:ascii="Arial" w:hAnsi="Arial" w:cs="Arial"/>
          <w:shd w:val="clear" w:color="auto" w:fill="FFFFFF"/>
        </w:rPr>
      </w:pPr>
    </w:p>
    <w:p w14:paraId="4492F520" w14:textId="33A55B8F" w:rsidR="00F865F9" w:rsidRPr="0018634D" w:rsidRDefault="009443FC" w:rsidP="007101A1">
      <w:pPr>
        <w:spacing w:after="0" w:line="240" w:lineRule="auto"/>
        <w:ind w:left="284" w:right="-568"/>
        <w:jc w:val="both"/>
        <w:rPr>
          <w:rFonts w:ascii="Arial" w:hAnsi="Arial" w:cs="Arial"/>
          <w:shd w:val="clear" w:color="auto" w:fill="FFFFFF"/>
        </w:rPr>
      </w:pPr>
      <w:r w:rsidRPr="0018634D">
        <w:rPr>
          <w:rFonts w:ascii="Arial" w:hAnsi="Arial" w:cs="Arial"/>
          <w:shd w:val="clear" w:color="auto" w:fill="FFFFFF"/>
        </w:rPr>
        <w:t>(</w:t>
      </w:r>
      <w:r w:rsidR="00F865F9" w:rsidRPr="0018634D">
        <w:rPr>
          <w:rFonts w:ascii="Arial" w:hAnsi="Arial" w:cs="Arial"/>
          <w:shd w:val="clear" w:color="auto" w:fill="FFFFFF"/>
        </w:rPr>
        <w:t>Legislación Anterior</w:t>
      </w:r>
      <w:r w:rsidRPr="0018634D">
        <w:rPr>
          <w:rFonts w:ascii="Arial" w:hAnsi="Arial" w:cs="Arial"/>
          <w:shd w:val="clear" w:color="auto" w:fill="FFFFFF"/>
        </w:rPr>
        <w:t xml:space="preserve"> - </w:t>
      </w:r>
      <w:r w:rsidR="00F865F9" w:rsidRPr="0018634D">
        <w:rPr>
          <w:rFonts w:ascii="Arial" w:hAnsi="Arial" w:cs="Arial"/>
          <w:shd w:val="clear" w:color="auto" w:fill="FFFFFF"/>
        </w:rPr>
        <w:t>Texto original de la Ley 1607 de 2012</w:t>
      </w:r>
      <w:r w:rsidRPr="0018634D">
        <w:rPr>
          <w:rFonts w:ascii="Arial" w:hAnsi="Arial" w:cs="Arial"/>
          <w:shd w:val="clear" w:color="auto" w:fill="FFFFFF"/>
        </w:rPr>
        <w:t xml:space="preserve">) </w:t>
      </w:r>
    </w:p>
    <w:p w14:paraId="54D2AD95" w14:textId="77777777" w:rsidR="00F865F9" w:rsidRPr="0018634D" w:rsidRDefault="00F865F9" w:rsidP="007101A1">
      <w:pPr>
        <w:spacing w:after="0" w:line="240" w:lineRule="auto"/>
        <w:ind w:left="284" w:right="-568"/>
        <w:jc w:val="both"/>
        <w:rPr>
          <w:rFonts w:ascii="Arial" w:hAnsi="Arial" w:cs="Arial"/>
          <w:shd w:val="clear" w:color="auto" w:fill="FFFFFF"/>
        </w:rPr>
      </w:pPr>
    </w:p>
    <w:p w14:paraId="315A089E" w14:textId="21EFD542" w:rsidR="00F865F9" w:rsidRPr="0018634D" w:rsidRDefault="00F865F9" w:rsidP="007101A1">
      <w:pPr>
        <w:spacing w:after="0" w:line="240" w:lineRule="auto"/>
        <w:ind w:left="284" w:right="-568"/>
        <w:jc w:val="both"/>
        <w:rPr>
          <w:rFonts w:ascii="Arial" w:hAnsi="Arial" w:cs="Arial"/>
          <w:shd w:val="clear" w:color="auto" w:fill="FFFFFF"/>
        </w:rPr>
      </w:pPr>
      <w:r w:rsidRPr="0018634D">
        <w:rPr>
          <w:rFonts w:ascii="Arial" w:hAnsi="Arial" w:cs="Arial"/>
          <w:b/>
          <w:bCs/>
          <w:shd w:val="clear" w:color="auto" w:fill="FFFFFF"/>
        </w:rPr>
        <w:t>A</w:t>
      </w:r>
      <w:r w:rsidR="00B3701E" w:rsidRPr="0018634D">
        <w:rPr>
          <w:rFonts w:ascii="Arial" w:hAnsi="Arial" w:cs="Arial"/>
          <w:b/>
          <w:bCs/>
          <w:shd w:val="clear" w:color="auto" w:fill="FFFFFF"/>
        </w:rPr>
        <w:t>rtículo</w:t>
      </w:r>
      <w:r w:rsidRPr="0018634D">
        <w:rPr>
          <w:rFonts w:ascii="Arial" w:hAnsi="Arial" w:cs="Arial"/>
          <w:b/>
          <w:bCs/>
          <w:shd w:val="clear" w:color="auto" w:fill="FFFFFF"/>
        </w:rPr>
        <w:t xml:space="preserve"> 20.</w:t>
      </w:r>
      <w:r w:rsidRPr="0018634D">
        <w:rPr>
          <w:rFonts w:ascii="Arial" w:hAnsi="Arial" w:cs="Arial"/>
          <w:shd w:val="clear" w:color="auto" w:fill="FFFFFF"/>
        </w:rPr>
        <w:t xml:space="preserve"> Créase, a partir del 1o de enero de 2013, el Impuesto sobre la Renta para la Equidad (CREE) como el aporte con el que contribuyen las sociedades y personas jurídicas y asimiladas contribuyentes declarantes del impuesto sobre la renta y complementarios, en beneficio de los trabajadores, la generación de empleo, y la inversión social en los términos previstos en la presente ley.</w:t>
      </w:r>
    </w:p>
    <w:p w14:paraId="660966EB" w14:textId="77777777" w:rsidR="00F865F9" w:rsidRPr="0018634D" w:rsidRDefault="00F865F9" w:rsidP="007101A1">
      <w:pPr>
        <w:spacing w:after="0" w:line="240" w:lineRule="auto"/>
        <w:ind w:left="284" w:right="-568"/>
        <w:jc w:val="both"/>
        <w:rPr>
          <w:rFonts w:ascii="Arial" w:hAnsi="Arial" w:cs="Arial"/>
          <w:shd w:val="clear" w:color="auto" w:fill="FFFFFF"/>
        </w:rPr>
      </w:pPr>
    </w:p>
    <w:p w14:paraId="35287A39" w14:textId="6E765BA9" w:rsidR="00E36365" w:rsidRPr="0018634D" w:rsidRDefault="00F865F9" w:rsidP="007101A1">
      <w:pPr>
        <w:spacing w:after="0" w:line="240" w:lineRule="auto"/>
        <w:ind w:left="284" w:right="-568"/>
        <w:jc w:val="both"/>
        <w:rPr>
          <w:rFonts w:ascii="Arial" w:hAnsi="Arial" w:cs="Arial"/>
          <w:shd w:val="clear" w:color="auto" w:fill="FFFFFF"/>
        </w:rPr>
      </w:pPr>
      <w:r w:rsidRPr="0018634D">
        <w:rPr>
          <w:rFonts w:ascii="Arial" w:hAnsi="Arial" w:cs="Arial"/>
          <w:shd w:val="clear" w:color="auto" w:fill="FFFFFF"/>
        </w:rPr>
        <w:t>También son sujetos pasivos del Impuesto sobre la Renta para la Equidad las sociedades y entidades extranjeras contribuyentes declarantes del impuesto sobre la renta por sus ingresos de fuente nacional obtenidos mediante sucursales y establecimientos permanentes. Para estos efectos, se consideran ingresos de fuente nacional los establecidos en el artículo 24 del Estatuto Tributario.</w:t>
      </w:r>
      <w:r w:rsidR="00F57113" w:rsidRPr="0018634D">
        <w:rPr>
          <w:rFonts w:ascii="Arial" w:hAnsi="Arial" w:cs="Arial"/>
          <w:shd w:val="clear" w:color="auto" w:fill="FFFFFF"/>
        </w:rPr>
        <w:t>”</w:t>
      </w:r>
      <w:r w:rsidR="00F57113" w:rsidRPr="0018634D">
        <w:rPr>
          <w:rStyle w:val="Refdenotaalpie"/>
          <w:rFonts w:ascii="Arial" w:hAnsi="Arial" w:cs="Arial"/>
          <w:shd w:val="clear" w:color="auto" w:fill="FFFFFF"/>
        </w:rPr>
        <w:footnoteReference w:id="4"/>
      </w:r>
      <w:r w:rsidR="008259BD" w:rsidRPr="0018634D">
        <w:rPr>
          <w:rFonts w:ascii="Arial" w:hAnsi="Arial" w:cs="Arial"/>
          <w:shd w:val="clear" w:color="auto" w:fill="FFFFFF"/>
        </w:rPr>
        <w:t xml:space="preserve"> </w:t>
      </w:r>
    </w:p>
    <w:p w14:paraId="3320104C" w14:textId="6E5EF9E3" w:rsidR="00D32BB4" w:rsidRPr="0018634D" w:rsidRDefault="00F2356A" w:rsidP="007101A1">
      <w:pPr>
        <w:spacing w:after="0" w:line="240" w:lineRule="auto"/>
        <w:ind w:left="284" w:right="-568"/>
        <w:jc w:val="both"/>
        <w:rPr>
          <w:rFonts w:ascii="Arial" w:hAnsi="Arial" w:cs="Arial"/>
          <w:sz w:val="24"/>
          <w:szCs w:val="24"/>
          <w:shd w:val="clear" w:color="auto" w:fill="FFFFFF"/>
        </w:rPr>
      </w:pPr>
      <w:r w:rsidRPr="0018634D">
        <w:rPr>
          <w:rFonts w:ascii="Arial" w:hAnsi="Arial" w:cs="Arial"/>
          <w:sz w:val="24"/>
          <w:szCs w:val="24"/>
          <w:shd w:val="clear" w:color="auto" w:fill="FFFFFF"/>
        </w:rPr>
        <w:t>[…]</w:t>
      </w:r>
    </w:p>
    <w:p w14:paraId="2CBF1B29" w14:textId="70F561A6" w:rsidR="009B52E2" w:rsidRPr="004625EF" w:rsidRDefault="009B52E2" w:rsidP="007101A1">
      <w:pPr>
        <w:pStyle w:val="NormalWeb"/>
        <w:spacing w:before="0" w:beforeAutospacing="0" w:after="0" w:afterAutospacing="0"/>
        <w:ind w:left="284" w:right="-568"/>
        <w:jc w:val="both"/>
        <w:rPr>
          <w:rFonts w:ascii="Arial" w:hAnsi="Arial" w:cs="Arial"/>
          <w:sz w:val="22"/>
          <w:szCs w:val="22"/>
        </w:rPr>
      </w:pPr>
      <w:bookmarkStart w:id="0" w:name="23"/>
      <w:r w:rsidRPr="004625EF">
        <w:rPr>
          <w:rFonts w:ascii="Arial" w:hAnsi="Arial" w:cs="Arial"/>
          <w:b/>
          <w:bCs/>
          <w:sz w:val="22"/>
          <w:szCs w:val="22"/>
        </w:rPr>
        <w:t>A</w:t>
      </w:r>
      <w:r w:rsidR="00B3701E" w:rsidRPr="004625EF">
        <w:rPr>
          <w:rFonts w:ascii="Arial" w:hAnsi="Arial" w:cs="Arial"/>
          <w:b/>
          <w:bCs/>
          <w:sz w:val="22"/>
          <w:szCs w:val="22"/>
        </w:rPr>
        <w:t>rtículo</w:t>
      </w:r>
      <w:r w:rsidRPr="004625EF">
        <w:rPr>
          <w:rFonts w:ascii="Arial" w:hAnsi="Arial" w:cs="Arial"/>
          <w:b/>
          <w:bCs/>
          <w:sz w:val="22"/>
          <w:szCs w:val="22"/>
        </w:rPr>
        <w:t xml:space="preserve"> 23. TARIFA DEL IMPUESTO SOBRE LA RENTA PARA LA EQUIDAD.</w:t>
      </w:r>
      <w:bookmarkEnd w:id="0"/>
      <w:r w:rsidRPr="004625EF">
        <w:rPr>
          <w:rFonts w:ascii="Arial" w:hAnsi="Arial" w:cs="Arial"/>
          <w:sz w:val="22"/>
          <w:szCs w:val="22"/>
        </w:rPr>
        <w:t> &lt;Artículo derogado por el artículo </w:t>
      </w:r>
      <w:hyperlink r:id="rId8" w:anchor="376" w:history="1">
        <w:r w:rsidRPr="004625EF">
          <w:rPr>
            <w:rStyle w:val="Hipervnculo"/>
            <w:rFonts w:ascii="Arial" w:hAnsi="Arial" w:cs="Arial"/>
            <w:color w:val="auto"/>
            <w:sz w:val="22"/>
            <w:szCs w:val="22"/>
          </w:rPr>
          <w:t>376</w:t>
        </w:r>
      </w:hyperlink>
      <w:r w:rsidRPr="004625EF">
        <w:rPr>
          <w:rFonts w:ascii="Arial" w:hAnsi="Arial" w:cs="Arial"/>
          <w:sz w:val="22"/>
          <w:szCs w:val="22"/>
        </w:rPr>
        <w:t> de la Ley 1819 de 2016&gt;</w:t>
      </w:r>
    </w:p>
    <w:p w14:paraId="190F6505" w14:textId="77777777" w:rsidR="009B52E2" w:rsidRPr="004625EF" w:rsidRDefault="009B52E2" w:rsidP="007101A1">
      <w:pPr>
        <w:spacing w:after="0" w:line="240" w:lineRule="auto"/>
        <w:ind w:left="284" w:right="-568"/>
        <w:jc w:val="both"/>
        <w:rPr>
          <w:rFonts w:ascii="Arial" w:hAnsi="Arial" w:cs="Arial"/>
        </w:rPr>
      </w:pPr>
    </w:p>
    <w:p w14:paraId="3445BE3D" w14:textId="13C57468" w:rsidR="009B52E2" w:rsidRPr="004625EF" w:rsidRDefault="009B52E2" w:rsidP="007101A1">
      <w:pPr>
        <w:spacing w:after="0" w:line="240" w:lineRule="auto"/>
        <w:ind w:left="284" w:right="-568"/>
        <w:jc w:val="both"/>
        <w:rPr>
          <w:rFonts w:ascii="Arial" w:hAnsi="Arial" w:cs="Arial"/>
        </w:rPr>
      </w:pPr>
      <w:r w:rsidRPr="004625EF">
        <w:rPr>
          <w:rFonts w:ascii="Arial" w:hAnsi="Arial" w:cs="Arial"/>
        </w:rPr>
        <w:t>Texto modificado por la Ley 1739 de 2014:</w:t>
      </w:r>
    </w:p>
    <w:p w14:paraId="3877EB9A" w14:textId="77777777" w:rsidR="009B52E2" w:rsidRPr="004625EF" w:rsidRDefault="009B52E2" w:rsidP="007101A1">
      <w:pPr>
        <w:spacing w:after="0" w:line="240" w:lineRule="auto"/>
        <w:ind w:left="284" w:right="-568"/>
        <w:jc w:val="both"/>
        <w:rPr>
          <w:rFonts w:ascii="Arial" w:hAnsi="Arial" w:cs="Arial"/>
        </w:rPr>
      </w:pPr>
    </w:p>
    <w:p w14:paraId="729FEA5F" w14:textId="726C1BEB" w:rsidR="009B52E2" w:rsidRPr="004625EF" w:rsidRDefault="009B52E2" w:rsidP="007101A1">
      <w:pPr>
        <w:spacing w:after="0" w:line="240" w:lineRule="auto"/>
        <w:ind w:left="284" w:right="-568"/>
        <w:jc w:val="both"/>
        <w:rPr>
          <w:rFonts w:ascii="Arial" w:hAnsi="Arial" w:cs="Arial"/>
        </w:rPr>
      </w:pPr>
      <w:r w:rsidRPr="004625EF">
        <w:rPr>
          <w:rFonts w:ascii="Arial" w:hAnsi="Arial" w:cs="Arial"/>
        </w:rPr>
        <w:t>ARTÍCULO 23. La tarifa del Impuesto sobre la Renta para la Equidad (CREE) a que se refiere el artículo 20 de la presente ley, será del ocho por ciento (8%).</w:t>
      </w:r>
    </w:p>
    <w:p w14:paraId="456B940C" w14:textId="77777777" w:rsidR="009B52E2" w:rsidRPr="004625EF" w:rsidRDefault="009B52E2" w:rsidP="007101A1">
      <w:pPr>
        <w:spacing w:after="0" w:line="240" w:lineRule="auto"/>
        <w:ind w:left="284" w:right="-568"/>
        <w:jc w:val="both"/>
        <w:rPr>
          <w:rFonts w:ascii="Arial" w:hAnsi="Arial" w:cs="Arial"/>
        </w:rPr>
      </w:pPr>
    </w:p>
    <w:p w14:paraId="7BEF31E6" w14:textId="1DF7C5CA" w:rsidR="009B52E2" w:rsidRPr="004625EF" w:rsidRDefault="009B52E2" w:rsidP="007101A1">
      <w:pPr>
        <w:spacing w:after="0" w:line="240" w:lineRule="auto"/>
        <w:ind w:left="284" w:right="-568"/>
        <w:jc w:val="both"/>
        <w:rPr>
          <w:rFonts w:ascii="Arial" w:hAnsi="Arial" w:cs="Arial"/>
        </w:rPr>
      </w:pPr>
      <w:r w:rsidRPr="004625EF">
        <w:rPr>
          <w:rFonts w:ascii="Arial" w:hAnsi="Arial" w:cs="Arial"/>
        </w:rPr>
        <w:t>PARÁGRAFO. A partir del periodo gravable 2016, la tarifa será del nueve por ciento (9%).</w:t>
      </w:r>
    </w:p>
    <w:p w14:paraId="147A6C88" w14:textId="77777777" w:rsidR="009B52E2" w:rsidRPr="004625EF" w:rsidRDefault="009B52E2" w:rsidP="007101A1">
      <w:pPr>
        <w:spacing w:after="0" w:line="240" w:lineRule="auto"/>
        <w:ind w:left="284" w:right="-568"/>
        <w:jc w:val="both"/>
        <w:rPr>
          <w:rFonts w:ascii="Arial" w:hAnsi="Arial" w:cs="Arial"/>
        </w:rPr>
      </w:pPr>
    </w:p>
    <w:p w14:paraId="3A81BB60" w14:textId="026915EA" w:rsidR="009B52E2" w:rsidRPr="004625EF" w:rsidRDefault="009B52E2" w:rsidP="007101A1">
      <w:pPr>
        <w:spacing w:after="0" w:line="240" w:lineRule="auto"/>
        <w:ind w:left="284" w:right="-568"/>
        <w:jc w:val="both"/>
        <w:rPr>
          <w:rFonts w:ascii="Arial" w:hAnsi="Arial" w:cs="Arial"/>
        </w:rPr>
      </w:pPr>
      <w:r w:rsidRPr="004625EF">
        <w:rPr>
          <w:rFonts w:ascii="Arial" w:hAnsi="Arial" w:cs="Arial"/>
        </w:rPr>
        <w:t>PARÁGRAFO TRANSITORIO. Para los años 2013, 2014 y 2015 la tarifa del CREE será del nueve (9%). Este punto adicional se aplicará de acuerdo con la distribución que se hará en el parágrafo transitorio del siguiente artículo.</w:t>
      </w:r>
    </w:p>
    <w:p w14:paraId="59D6E6E7" w14:textId="77777777" w:rsidR="009B52E2" w:rsidRPr="004625EF" w:rsidRDefault="009B52E2" w:rsidP="007101A1">
      <w:pPr>
        <w:spacing w:after="0" w:line="240" w:lineRule="auto"/>
        <w:ind w:left="284" w:right="-568"/>
        <w:jc w:val="both"/>
        <w:rPr>
          <w:rFonts w:ascii="Arial" w:hAnsi="Arial" w:cs="Arial"/>
          <w:shd w:val="clear" w:color="auto" w:fill="FFFFFF"/>
        </w:rPr>
      </w:pPr>
    </w:p>
    <w:p w14:paraId="36F8029E" w14:textId="77777777" w:rsidR="00F2356A" w:rsidRPr="004625EF" w:rsidRDefault="00F2356A" w:rsidP="007101A1">
      <w:pPr>
        <w:pStyle w:val="NormalWeb"/>
        <w:spacing w:before="0" w:beforeAutospacing="0" w:after="0" w:afterAutospacing="0"/>
        <w:ind w:left="284" w:right="-568"/>
        <w:jc w:val="both"/>
        <w:rPr>
          <w:rFonts w:ascii="Arial" w:hAnsi="Arial" w:cs="Arial"/>
          <w:sz w:val="22"/>
          <w:szCs w:val="22"/>
        </w:rPr>
      </w:pPr>
      <w:bookmarkStart w:id="1" w:name="24"/>
      <w:r w:rsidRPr="004625EF">
        <w:rPr>
          <w:rFonts w:ascii="Arial" w:hAnsi="Arial" w:cs="Arial"/>
          <w:b/>
          <w:bCs/>
          <w:sz w:val="22"/>
          <w:szCs w:val="22"/>
        </w:rPr>
        <w:lastRenderedPageBreak/>
        <w:t>ARTÍCULO 24. DESTINACIÓN ESPECÍFICA.</w:t>
      </w:r>
      <w:bookmarkEnd w:id="1"/>
      <w:r w:rsidRPr="004625EF">
        <w:rPr>
          <w:rFonts w:ascii="Arial" w:hAnsi="Arial" w:cs="Arial"/>
          <w:sz w:val="22"/>
          <w:szCs w:val="22"/>
        </w:rPr>
        <w:t> &lt;Artículo derogado por el artículo </w:t>
      </w:r>
      <w:hyperlink r:id="rId9" w:anchor="376" w:history="1">
        <w:r w:rsidRPr="004625EF">
          <w:rPr>
            <w:rStyle w:val="Hipervnculo"/>
            <w:rFonts w:ascii="Arial" w:hAnsi="Arial" w:cs="Arial"/>
            <w:color w:val="auto"/>
            <w:sz w:val="22"/>
            <w:szCs w:val="22"/>
          </w:rPr>
          <w:t>376</w:t>
        </w:r>
      </w:hyperlink>
      <w:r w:rsidRPr="004625EF">
        <w:rPr>
          <w:rFonts w:ascii="Arial" w:hAnsi="Arial" w:cs="Arial"/>
          <w:sz w:val="22"/>
          <w:szCs w:val="22"/>
        </w:rPr>
        <w:t> de la Ley 1819 de 2016&gt;</w:t>
      </w:r>
    </w:p>
    <w:p w14:paraId="531BA53C" w14:textId="2068EAC1"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p>
    <w:p w14:paraId="7402C122" w14:textId="2E3CB343" w:rsidR="00F2356A" w:rsidRPr="004625EF" w:rsidRDefault="00F2356A" w:rsidP="007101A1">
      <w:pPr>
        <w:pStyle w:val="NormalWeb"/>
        <w:shd w:val="clear" w:color="auto" w:fill="FFFFFF" w:themeFill="background1"/>
        <w:spacing w:before="0" w:beforeAutospacing="0" w:after="0" w:afterAutospacing="0"/>
        <w:ind w:left="284" w:right="-568"/>
        <w:jc w:val="both"/>
        <w:rPr>
          <w:rStyle w:val="baj"/>
          <w:rFonts w:ascii="Arial" w:hAnsi="Arial" w:cs="Arial"/>
          <w:b/>
          <w:bCs/>
          <w:sz w:val="22"/>
          <w:szCs w:val="22"/>
        </w:rPr>
      </w:pPr>
      <w:r w:rsidRPr="004625EF">
        <w:rPr>
          <w:rStyle w:val="baj"/>
          <w:rFonts w:ascii="Arial" w:hAnsi="Arial" w:cs="Arial"/>
          <w:b/>
          <w:bCs/>
          <w:sz w:val="22"/>
          <w:szCs w:val="22"/>
        </w:rPr>
        <w:t>Texto original de la Ley 1607 de 2012, modificado parcialmente por la Ley 1739 de 2014 y la Ley 1753 de 2015:</w:t>
      </w:r>
    </w:p>
    <w:p w14:paraId="69B5DF57" w14:textId="77777777"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p>
    <w:p w14:paraId="7F3CA528" w14:textId="482F2141"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ARTÍCULO 24. A partir del momento en que el Gobierno Nacional implemente el sistema de retenciones en la fuente para el recaudo del Impuesto sobre la Renta para la Equidad (CREE) y, en todo caso antes del 1o de julio de 2013, el Impuesto sobre la Renta para la Equidad (CREE) de que trata el artículo </w:t>
      </w:r>
      <w:hyperlink r:id="rId10" w:anchor="20" w:history="1">
        <w:r w:rsidRPr="004625EF">
          <w:rPr>
            <w:rStyle w:val="Hipervnculo"/>
            <w:rFonts w:ascii="Arial" w:hAnsi="Arial" w:cs="Arial"/>
            <w:color w:val="auto"/>
            <w:sz w:val="22"/>
            <w:szCs w:val="22"/>
          </w:rPr>
          <w:t>20</w:t>
        </w:r>
      </w:hyperlink>
      <w:r w:rsidRPr="004625EF">
        <w:rPr>
          <w:rFonts w:ascii="Arial" w:hAnsi="Arial" w:cs="Arial"/>
          <w:sz w:val="22"/>
          <w:szCs w:val="22"/>
        </w:rPr>
        <w:t> de la presente ley se destinará a la financiación de los programas de inversión social orientada prioritariamente a beneficiar a la población usuaria más necesitada, y que estén a cargo del Servicio Nacional de Aprendizaje (SENA) y del Instituto Colombiano de Bienestar Familiar (ICBF).</w:t>
      </w:r>
    </w:p>
    <w:p w14:paraId="79D48545" w14:textId="4D5E2CD7" w:rsidR="00F2356A" w:rsidRPr="004625EF" w:rsidRDefault="00CB684C"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w:t>
      </w:r>
    </w:p>
    <w:p w14:paraId="5001240C" w14:textId="77777777" w:rsidR="00CB684C" w:rsidRPr="004625EF" w:rsidRDefault="00CB684C"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p>
    <w:p w14:paraId="2E78C72A" w14:textId="7D3AB365"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&lt;Inciso modificado por el artículo </w:t>
      </w:r>
      <w:hyperlink r:id="rId11" w:anchor="136" w:history="1">
        <w:r w:rsidRPr="004625EF">
          <w:rPr>
            <w:rStyle w:val="Hipervnculo"/>
            <w:rFonts w:ascii="Arial" w:hAnsi="Arial" w:cs="Arial"/>
            <w:color w:val="auto"/>
            <w:sz w:val="22"/>
            <w:szCs w:val="22"/>
          </w:rPr>
          <w:t>136</w:t>
        </w:r>
      </w:hyperlink>
      <w:r w:rsidRPr="004625EF">
        <w:rPr>
          <w:rFonts w:ascii="Arial" w:hAnsi="Arial" w:cs="Arial"/>
          <w:sz w:val="22"/>
          <w:szCs w:val="22"/>
        </w:rPr>
        <w:t> de la Ley 1753 de 2015. El nuevo texto es el siguiente:&gt; A partir del período gravable 2016, del nueve por ciento (9%) de la tarifa del impuesto al que se refiere el inciso 2o del artículo </w:t>
      </w:r>
      <w:hyperlink r:id="rId12" w:anchor="23" w:history="1">
        <w:r w:rsidRPr="004625EF">
          <w:rPr>
            <w:rStyle w:val="Hipervnculo"/>
            <w:rFonts w:ascii="Arial" w:hAnsi="Arial" w:cs="Arial"/>
            <w:color w:val="auto"/>
            <w:sz w:val="22"/>
            <w:szCs w:val="22"/>
          </w:rPr>
          <w:t>23</w:t>
        </w:r>
      </w:hyperlink>
      <w:r w:rsidRPr="004625EF">
        <w:rPr>
          <w:rFonts w:ascii="Arial" w:hAnsi="Arial" w:cs="Arial"/>
          <w:sz w:val="22"/>
          <w:szCs w:val="22"/>
        </w:rPr>
        <w:t xml:space="preserve"> de la presente ley, un punto se distribuirá así: 0,4 puntos se destinarán a financiar programas de atención a la primera infancia, y </w:t>
      </w:r>
      <w:r w:rsidRPr="004625EF">
        <w:rPr>
          <w:rFonts w:ascii="Arial" w:hAnsi="Arial" w:cs="Arial"/>
          <w:sz w:val="22"/>
          <w:szCs w:val="22"/>
          <w:u w:val="single"/>
        </w:rPr>
        <w:t xml:space="preserve">0,6 puntos a financiar las instituciones de educación superior públicas, créditos beca a través del </w:t>
      </w:r>
      <w:proofErr w:type="spellStart"/>
      <w:r w:rsidRPr="004625EF">
        <w:rPr>
          <w:rFonts w:ascii="Arial" w:hAnsi="Arial" w:cs="Arial"/>
          <w:sz w:val="22"/>
          <w:szCs w:val="22"/>
          <w:u w:val="single"/>
        </w:rPr>
        <w:t>Icetex</w:t>
      </w:r>
      <w:proofErr w:type="spellEnd"/>
      <w:r w:rsidRPr="004625EF">
        <w:rPr>
          <w:rFonts w:ascii="Arial" w:hAnsi="Arial" w:cs="Arial"/>
          <w:sz w:val="22"/>
          <w:szCs w:val="22"/>
          <w:u w:val="single"/>
        </w:rPr>
        <w:t>, y mejoramiento de la calidad de la educación superior. Los recursos de que trata este inciso y que serán destinados a financiar las instituciones de educación superior públicas</w:t>
      </w:r>
      <w:r w:rsidRPr="004625EF">
        <w:rPr>
          <w:rFonts w:ascii="Arial" w:hAnsi="Arial" w:cs="Arial"/>
          <w:sz w:val="22"/>
          <w:szCs w:val="22"/>
        </w:rPr>
        <w:t xml:space="preserve">, créditos beca a través del </w:t>
      </w:r>
      <w:proofErr w:type="spellStart"/>
      <w:r w:rsidRPr="004625EF">
        <w:rPr>
          <w:rFonts w:ascii="Arial" w:hAnsi="Arial" w:cs="Arial"/>
          <w:sz w:val="22"/>
          <w:szCs w:val="22"/>
        </w:rPr>
        <w:t>Icetex</w:t>
      </w:r>
      <w:proofErr w:type="spellEnd"/>
      <w:r w:rsidRPr="004625EF">
        <w:rPr>
          <w:rFonts w:ascii="Arial" w:hAnsi="Arial" w:cs="Arial"/>
          <w:sz w:val="22"/>
          <w:szCs w:val="22"/>
        </w:rPr>
        <w:t>, y mejoramiento de la calidad de la educación superior, serán presupuestados en la sección del Ministerio de Educación Nacional y los destinados a financiar programas de atención a la primera infancia, en la sección del Ministerio de Hacienda y Crédito Público, los cuales para su distribución seguirán los lineamientos definidos por la Comisión Intersectorial para la Primera Infancia.</w:t>
      </w:r>
    </w:p>
    <w:p w14:paraId="3E27C97C" w14:textId="77777777" w:rsidR="00CB684C" w:rsidRPr="004625EF" w:rsidRDefault="00CB684C"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p>
    <w:p w14:paraId="6A7D5E43" w14:textId="4E4813AE"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 xml:space="preserve">PARÁGRAFO 1o. Tendrán esta misma destinación los recursos recaudados por concepto de intereses por la mora en el pago del CREE y las sanciones a que </w:t>
      </w:r>
      <w:proofErr w:type="gramStart"/>
      <w:r w:rsidRPr="004625EF">
        <w:rPr>
          <w:rFonts w:ascii="Arial" w:hAnsi="Arial" w:cs="Arial"/>
          <w:sz w:val="22"/>
          <w:szCs w:val="22"/>
        </w:rPr>
        <w:t>hayan</w:t>
      </w:r>
      <w:proofErr w:type="gramEnd"/>
      <w:r w:rsidRPr="004625EF">
        <w:rPr>
          <w:rFonts w:ascii="Arial" w:hAnsi="Arial" w:cs="Arial"/>
          <w:sz w:val="22"/>
          <w:szCs w:val="22"/>
        </w:rPr>
        <w:t xml:space="preserve"> lugar en los términos previstos en esta ley.</w:t>
      </w:r>
    </w:p>
    <w:p w14:paraId="456ABE86" w14:textId="128BDF2F" w:rsidR="00CB684C" w:rsidRPr="004625EF" w:rsidRDefault="00CB684C"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w:t>
      </w:r>
    </w:p>
    <w:p w14:paraId="28449387" w14:textId="77777777"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PARÁGRAFO TRANSITORIO. &lt;Parágrafo transitorio modificado por el artículo </w:t>
      </w:r>
      <w:hyperlink r:id="rId13" w:anchor="72" w:history="1">
        <w:r w:rsidRPr="004625EF">
          <w:rPr>
            <w:rStyle w:val="Hipervnculo"/>
            <w:rFonts w:ascii="Arial" w:hAnsi="Arial" w:cs="Arial"/>
            <w:color w:val="auto"/>
            <w:sz w:val="22"/>
            <w:szCs w:val="22"/>
          </w:rPr>
          <w:t>72</w:t>
        </w:r>
      </w:hyperlink>
      <w:r w:rsidRPr="004625EF">
        <w:rPr>
          <w:rFonts w:ascii="Arial" w:hAnsi="Arial" w:cs="Arial"/>
          <w:sz w:val="22"/>
          <w:szCs w:val="22"/>
        </w:rPr>
        <w:t> de la Ley 1739 de 2014. El nuevo texto es el siguiente:&gt; Para el período gravable 2015 el punto adicional de que trata el parágrafo transitorio del artículo </w:t>
      </w:r>
      <w:hyperlink r:id="rId14" w:anchor="23" w:history="1">
        <w:r w:rsidRPr="004625EF">
          <w:rPr>
            <w:rStyle w:val="Hipervnculo"/>
            <w:rFonts w:ascii="Arial" w:hAnsi="Arial" w:cs="Arial"/>
            <w:color w:val="auto"/>
            <w:sz w:val="22"/>
            <w:szCs w:val="22"/>
          </w:rPr>
          <w:t>23</w:t>
        </w:r>
      </w:hyperlink>
      <w:r w:rsidRPr="004625EF">
        <w:rPr>
          <w:rFonts w:ascii="Arial" w:hAnsi="Arial" w:cs="Arial"/>
          <w:sz w:val="22"/>
          <w:szCs w:val="22"/>
        </w:rPr>
        <w:t>, se distribuirá así: cuarenta por ciento (40%) para financiar las instituciones de educación superior públicas y sesenta por ciento (60%) para la nivelación de la UPC del régimen subsidiado en salud. Los recursos de que trata este parágrafo serán presupuestados en la sección del Ministerio de Hacienda y Crédito Público y transferidos a las entidades ejecutoras. El Gobierno nacional reglamentará los criterios para la asignación y distribución de que trata este parágrafo.</w:t>
      </w:r>
    </w:p>
    <w:p w14:paraId="5258D6FC" w14:textId="77777777" w:rsidR="00CB684C" w:rsidRPr="004625EF" w:rsidRDefault="00CB684C"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p>
    <w:p w14:paraId="69DC63D4" w14:textId="43C4074C" w:rsidR="00F2356A" w:rsidRPr="004625EF" w:rsidRDefault="00F2356A" w:rsidP="007101A1">
      <w:pPr>
        <w:pStyle w:val="NormalWeb"/>
        <w:shd w:val="clear" w:color="auto" w:fill="FFFFFF" w:themeFill="background1"/>
        <w:spacing w:before="0" w:beforeAutospacing="0" w:after="0" w:afterAutospacing="0"/>
        <w:ind w:left="284" w:right="-568"/>
        <w:jc w:val="both"/>
        <w:rPr>
          <w:rFonts w:ascii="Arial" w:hAnsi="Arial" w:cs="Arial"/>
          <w:sz w:val="22"/>
          <w:szCs w:val="22"/>
        </w:rPr>
      </w:pPr>
      <w:r w:rsidRPr="004625EF">
        <w:rPr>
          <w:rFonts w:ascii="Arial" w:hAnsi="Arial" w:cs="Arial"/>
          <w:sz w:val="22"/>
          <w:szCs w:val="22"/>
        </w:rPr>
        <w:t>Para lo anterior se adelantarán los ajustes correspondientes, de conformidad con la normatividad presupuestal dispuesta en el Estatuto Orgánico del Presupuesto y las Disposiciones Generales del Presupuesto General de la Nación.</w:t>
      </w:r>
    </w:p>
    <w:p w14:paraId="1593D15C" w14:textId="77777777" w:rsidR="00F2356A" w:rsidRPr="0018634D" w:rsidRDefault="00F2356A" w:rsidP="007101A1">
      <w:pPr>
        <w:shd w:val="clear" w:color="auto" w:fill="FFFFFF" w:themeFill="background1"/>
        <w:spacing w:after="0" w:line="240" w:lineRule="auto"/>
        <w:ind w:right="-568"/>
        <w:jc w:val="both"/>
        <w:rPr>
          <w:rFonts w:ascii="Arial" w:hAnsi="Arial" w:cs="Arial"/>
          <w:sz w:val="24"/>
          <w:szCs w:val="24"/>
          <w:shd w:val="clear" w:color="auto" w:fill="FFFFFF"/>
        </w:rPr>
      </w:pPr>
    </w:p>
    <w:p w14:paraId="0095D3BA" w14:textId="785201A8" w:rsidR="00812EA4" w:rsidRPr="0018634D" w:rsidRDefault="006C3674" w:rsidP="007101A1">
      <w:pPr>
        <w:spacing w:after="0" w:line="240" w:lineRule="auto"/>
        <w:ind w:right="-568"/>
        <w:jc w:val="both"/>
        <w:rPr>
          <w:rFonts w:ascii="Arial" w:hAnsi="Arial" w:cs="Arial"/>
          <w:sz w:val="24"/>
          <w:szCs w:val="24"/>
        </w:rPr>
      </w:pPr>
      <w:r w:rsidRPr="0018634D">
        <w:rPr>
          <w:rFonts w:ascii="Arial" w:hAnsi="Arial" w:cs="Arial"/>
          <w:sz w:val="24"/>
          <w:szCs w:val="24"/>
        </w:rPr>
        <w:t>E</w:t>
      </w:r>
      <w:r w:rsidR="00151D15" w:rsidRPr="0018634D">
        <w:rPr>
          <w:rFonts w:ascii="Arial" w:hAnsi="Arial" w:cs="Arial"/>
          <w:sz w:val="24"/>
          <w:szCs w:val="24"/>
        </w:rPr>
        <w:t>n lo relacionado con la destinación específica de este impuesto</w:t>
      </w:r>
      <w:r w:rsidR="00794A72" w:rsidRPr="0018634D">
        <w:rPr>
          <w:rFonts w:ascii="Arial" w:hAnsi="Arial" w:cs="Arial"/>
          <w:sz w:val="24"/>
          <w:szCs w:val="24"/>
        </w:rPr>
        <w:t>,</w:t>
      </w:r>
      <w:r w:rsidR="00812EA4" w:rsidRPr="0018634D">
        <w:rPr>
          <w:rFonts w:ascii="Arial" w:hAnsi="Arial" w:cs="Arial"/>
          <w:sz w:val="24"/>
          <w:szCs w:val="24"/>
        </w:rPr>
        <w:t xml:space="preserve"> fue </w:t>
      </w:r>
      <w:r w:rsidR="00151D15" w:rsidRPr="0018634D">
        <w:rPr>
          <w:rFonts w:ascii="Arial" w:hAnsi="Arial" w:cs="Arial"/>
          <w:sz w:val="24"/>
          <w:szCs w:val="24"/>
        </w:rPr>
        <w:t xml:space="preserve">mediante </w:t>
      </w:r>
      <w:r w:rsidR="002B4A0C" w:rsidRPr="0018634D">
        <w:rPr>
          <w:rFonts w:ascii="Arial" w:hAnsi="Arial" w:cs="Arial"/>
          <w:sz w:val="24"/>
          <w:szCs w:val="24"/>
        </w:rPr>
        <w:t>Decreto 1246 de 2015</w:t>
      </w:r>
      <w:r w:rsidR="002B4A0C" w:rsidRPr="0018634D">
        <w:rPr>
          <w:rStyle w:val="Refdenotaalpie"/>
          <w:rFonts w:ascii="Arial" w:hAnsi="Arial" w:cs="Arial"/>
          <w:sz w:val="24"/>
          <w:szCs w:val="24"/>
        </w:rPr>
        <w:footnoteReference w:id="5"/>
      </w:r>
      <w:r w:rsidR="002B4A0C" w:rsidRPr="0018634D">
        <w:rPr>
          <w:rFonts w:ascii="Arial" w:hAnsi="Arial" w:cs="Arial"/>
          <w:sz w:val="24"/>
          <w:szCs w:val="24"/>
        </w:rPr>
        <w:t xml:space="preserve"> </w:t>
      </w:r>
      <w:r w:rsidRPr="0018634D">
        <w:rPr>
          <w:rFonts w:ascii="Arial" w:hAnsi="Arial" w:cs="Arial"/>
          <w:sz w:val="24"/>
          <w:szCs w:val="24"/>
        </w:rPr>
        <w:t xml:space="preserve">que </w:t>
      </w:r>
      <w:r w:rsidR="002B4A0C" w:rsidRPr="0018634D">
        <w:rPr>
          <w:rFonts w:ascii="Arial" w:hAnsi="Arial" w:cs="Arial"/>
          <w:sz w:val="24"/>
          <w:szCs w:val="24"/>
        </w:rPr>
        <w:t xml:space="preserve">se adicionó el Decreto Único Reglamentario del Sector Educación para reglamentar los criterios para la asignación y distribución de los </w:t>
      </w:r>
      <w:r w:rsidR="002B4A0C" w:rsidRPr="0018634D">
        <w:rPr>
          <w:rFonts w:ascii="Arial" w:hAnsi="Arial" w:cs="Arial"/>
          <w:sz w:val="24"/>
          <w:szCs w:val="24"/>
        </w:rPr>
        <w:lastRenderedPageBreak/>
        <w:t>recursos para financiar las instituciones de educación superior públicas de que trata el artículo 24 de la Ley 1607 de 2012, modificado por el artículo 72 de la Ley 1739 de 2014, para el periodo gravable 2015.</w:t>
      </w:r>
      <w:r w:rsidR="00812EA4" w:rsidRPr="0018634D">
        <w:rPr>
          <w:rFonts w:ascii="Arial" w:hAnsi="Arial" w:cs="Arial"/>
          <w:sz w:val="24"/>
          <w:szCs w:val="24"/>
        </w:rPr>
        <w:t xml:space="preserve">  </w:t>
      </w:r>
    </w:p>
    <w:p w14:paraId="4F99CC16" w14:textId="77777777" w:rsidR="00812EA4" w:rsidRPr="0018634D" w:rsidRDefault="00812EA4" w:rsidP="007101A1">
      <w:pPr>
        <w:spacing w:after="0" w:line="240" w:lineRule="auto"/>
        <w:ind w:right="-568"/>
        <w:jc w:val="both"/>
        <w:rPr>
          <w:rFonts w:ascii="Arial" w:hAnsi="Arial" w:cs="Arial"/>
          <w:sz w:val="24"/>
          <w:szCs w:val="24"/>
        </w:rPr>
      </w:pPr>
    </w:p>
    <w:p w14:paraId="4295283B" w14:textId="1AE24D92" w:rsidR="002B4A0C" w:rsidRPr="0018634D" w:rsidRDefault="00812EA4" w:rsidP="007101A1">
      <w:pPr>
        <w:spacing w:after="0" w:line="240" w:lineRule="auto"/>
        <w:ind w:right="-568"/>
        <w:jc w:val="both"/>
        <w:rPr>
          <w:rFonts w:ascii="Arial" w:hAnsi="Arial" w:cs="Arial"/>
          <w:sz w:val="24"/>
          <w:szCs w:val="24"/>
        </w:rPr>
      </w:pPr>
      <w:r w:rsidRPr="0018634D">
        <w:rPr>
          <w:rFonts w:ascii="Arial" w:hAnsi="Arial" w:cs="Arial"/>
          <w:sz w:val="24"/>
          <w:szCs w:val="24"/>
        </w:rPr>
        <w:t>En tal sentido el Decreto 1075 de 2015</w:t>
      </w:r>
      <w:r w:rsidR="009E500E">
        <w:rPr>
          <w:rFonts w:ascii="Arial" w:hAnsi="Arial" w:cs="Arial"/>
          <w:sz w:val="24"/>
          <w:szCs w:val="24"/>
        </w:rPr>
        <w:t>,</w:t>
      </w:r>
      <w:r w:rsidRPr="0018634D">
        <w:rPr>
          <w:rFonts w:ascii="Arial" w:hAnsi="Arial" w:cs="Arial"/>
          <w:sz w:val="24"/>
          <w:szCs w:val="24"/>
        </w:rPr>
        <w:t xml:space="preserve"> “por medio del cual se expide el Decreto Único Reglamentario del Sector Educación”</w:t>
      </w:r>
      <w:r w:rsidR="009E500E">
        <w:rPr>
          <w:rFonts w:ascii="Arial" w:hAnsi="Arial" w:cs="Arial"/>
          <w:sz w:val="24"/>
          <w:szCs w:val="24"/>
        </w:rPr>
        <w:t>,</w:t>
      </w:r>
      <w:r w:rsidRPr="0018634D">
        <w:rPr>
          <w:rFonts w:ascii="Arial" w:hAnsi="Arial" w:cs="Arial"/>
          <w:sz w:val="24"/>
          <w:szCs w:val="24"/>
        </w:rPr>
        <w:t xml:space="preserve"> </w:t>
      </w:r>
      <w:r w:rsidR="006C3674" w:rsidRPr="0018634D">
        <w:rPr>
          <w:rFonts w:ascii="Arial" w:hAnsi="Arial" w:cs="Arial"/>
          <w:sz w:val="24"/>
          <w:szCs w:val="24"/>
        </w:rPr>
        <w:t>en lo atinente a</w:t>
      </w:r>
      <w:r w:rsidR="001D0022" w:rsidRPr="0018634D">
        <w:rPr>
          <w:rFonts w:ascii="Arial" w:hAnsi="Arial" w:cs="Arial"/>
          <w:sz w:val="24"/>
          <w:szCs w:val="24"/>
        </w:rPr>
        <w:t xml:space="preserve">l seguimiento y la transferencia de los </w:t>
      </w:r>
      <w:r w:rsidR="006C3674" w:rsidRPr="0018634D">
        <w:rPr>
          <w:rFonts w:ascii="Arial" w:hAnsi="Arial" w:cs="Arial"/>
          <w:sz w:val="24"/>
          <w:szCs w:val="24"/>
        </w:rPr>
        <w:t>recursos para educación superior provenientes del CREE, menciona lo siguiente:</w:t>
      </w:r>
    </w:p>
    <w:p w14:paraId="5B4048C6" w14:textId="206499BF" w:rsidR="002B4A0C" w:rsidRPr="0018634D" w:rsidRDefault="002B4A0C" w:rsidP="007101A1">
      <w:pPr>
        <w:spacing w:after="0" w:line="240" w:lineRule="auto"/>
        <w:ind w:right="-568"/>
        <w:jc w:val="both"/>
        <w:rPr>
          <w:rFonts w:ascii="Arial" w:hAnsi="Arial" w:cs="Arial"/>
          <w:sz w:val="24"/>
          <w:szCs w:val="24"/>
        </w:rPr>
      </w:pPr>
    </w:p>
    <w:p w14:paraId="00A2E9C0" w14:textId="77777777" w:rsidR="00794A72" w:rsidRPr="004625EF" w:rsidRDefault="00794A72" w:rsidP="007101A1">
      <w:pPr>
        <w:spacing w:after="0" w:line="240" w:lineRule="auto"/>
        <w:ind w:left="284" w:right="-568"/>
        <w:jc w:val="both"/>
        <w:rPr>
          <w:rFonts w:ascii="Arial" w:eastAsia="Times New Roman" w:hAnsi="Arial" w:cs="Arial"/>
          <w:lang w:val="es-CO" w:eastAsia="es-CO"/>
        </w:rPr>
      </w:pPr>
      <w:bookmarkStart w:id="2" w:name="ver_30190425"/>
      <w:bookmarkStart w:id="3" w:name="ver_30190429"/>
      <w:bookmarkEnd w:id="2"/>
      <w:bookmarkEnd w:id="3"/>
      <w:r w:rsidRPr="004625EF">
        <w:rPr>
          <w:rFonts w:ascii="Arial" w:eastAsia="Times New Roman" w:hAnsi="Arial" w:cs="Arial"/>
          <w:b/>
          <w:bCs/>
          <w:lang w:val="es-CO" w:eastAsia="es-CO"/>
        </w:rPr>
        <w:t>Artículo 2.5.4.3.9. </w:t>
      </w:r>
      <w:r w:rsidRPr="004625EF">
        <w:rPr>
          <w:rFonts w:ascii="Arial" w:eastAsia="Times New Roman" w:hAnsi="Arial" w:cs="Arial"/>
          <w:b/>
          <w:bCs/>
          <w:i/>
          <w:iCs/>
          <w:lang w:val="es-CO" w:eastAsia="es-CO"/>
        </w:rPr>
        <w:t>Seguimiento y control de los recursos</w:t>
      </w:r>
      <w:r w:rsidRPr="004625EF">
        <w:rPr>
          <w:rFonts w:ascii="Arial" w:eastAsia="Times New Roman" w:hAnsi="Arial" w:cs="Arial"/>
          <w:b/>
          <w:bCs/>
          <w:lang w:val="es-CO" w:eastAsia="es-CO"/>
        </w:rPr>
        <w:t>.</w:t>
      </w:r>
      <w:r w:rsidRPr="004625EF">
        <w:rPr>
          <w:rFonts w:ascii="Arial" w:eastAsia="Times New Roman" w:hAnsi="Arial" w:cs="Arial"/>
          <w:lang w:val="es-CO" w:eastAsia="es-CO"/>
        </w:rPr>
        <w:t> Las Instituciones de Educación Superior Públicas deberán administrar estos recursos en una cuenta especial que permita realizar el debido control y seguimiento a los recursos.  </w:t>
      </w:r>
    </w:p>
    <w:p w14:paraId="04EE0B7F" w14:textId="77777777" w:rsidR="00794A72" w:rsidRPr="004625EF" w:rsidRDefault="00794A72" w:rsidP="007101A1">
      <w:pPr>
        <w:spacing w:after="0" w:line="240" w:lineRule="auto"/>
        <w:ind w:left="284" w:right="-568"/>
        <w:rPr>
          <w:rFonts w:ascii="Arial" w:eastAsia="Times New Roman" w:hAnsi="Arial" w:cs="Arial"/>
          <w:lang w:val="es-CO" w:eastAsia="es-CO"/>
        </w:rPr>
      </w:pPr>
      <w:bookmarkStart w:id="4" w:name="ver_30190433"/>
      <w:bookmarkEnd w:id="4"/>
    </w:p>
    <w:p w14:paraId="3B3BC913" w14:textId="77777777" w:rsidR="00794A72" w:rsidRPr="004625EF" w:rsidRDefault="00794A72" w:rsidP="007101A1">
      <w:pPr>
        <w:spacing w:after="0" w:line="240" w:lineRule="auto"/>
        <w:ind w:left="284" w:right="-568"/>
        <w:jc w:val="both"/>
        <w:rPr>
          <w:rFonts w:ascii="Arial" w:eastAsia="Times New Roman" w:hAnsi="Arial" w:cs="Arial"/>
          <w:lang w:val="es-CO" w:eastAsia="es-CO"/>
        </w:rPr>
      </w:pPr>
      <w:r w:rsidRPr="004625EF">
        <w:rPr>
          <w:rFonts w:ascii="Arial" w:eastAsia="Times New Roman" w:hAnsi="Arial" w:cs="Arial"/>
          <w:b/>
          <w:bCs/>
          <w:lang w:val="es-CO" w:eastAsia="es-CO"/>
        </w:rPr>
        <w:t>Artículo 2.5.4.3.10. </w:t>
      </w:r>
      <w:r w:rsidRPr="004625EF">
        <w:rPr>
          <w:rFonts w:ascii="Arial" w:eastAsia="Times New Roman" w:hAnsi="Arial" w:cs="Arial"/>
          <w:b/>
          <w:bCs/>
          <w:i/>
          <w:iCs/>
          <w:lang w:val="es-CO" w:eastAsia="es-CO"/>
        </w:rPr>
        <w:t>Transferencia de los recursos. </w:t>
      </w:r>
      <w:r w:rsidRPr="004625EF">
        <w:rPr>
          <w:rFonts w:ascii="Arial" w:eastAsia="Times New Roman" w:hAnsi="Arial" w:cs="Arial"/>
          <w:lang w:val="es-CO" w:eastAsia="es-CO"/>
        </w:rPr>
        <w:t>El Ministerio de Hacienda y Crédito Público directamente, o a través del Ministerio de Educación Nacional, transferirá los recursos a que se refiere el presente Decreto a cada una de las entidades beneficiarias que sean ejecutoras de los mismos. </w:t>
      </w:r>
    </w:p>
    <w:p w14:paraId="1423DB59" w14:textId="77777777" w:rsidR="002B4A0C" w:rsidRPr="004625EF" w:rsidRDefault="002B4A0C" w:rsidP="007101A1">
      <w:pPr>
        <w:spacing w:after="0" w:line="240" w:lineRule="auto"/>
        <w:ind w:left="284" w:right="-568"/>
        <w:jc w:val="both"/>
        <w:rPr>
          <w:rFonts w:ascii="Arial" w:hAnsi="Arial" w:cs="Arial"/>
        </w:rPr>
      </w:pPr>
    </w:p>
    <w:p w14:paraId="758447E8" w14:textId="7A6FB14A" w:rsidR="002B4A0C" w:rsidRDefault="001D0022" w:rsidP="007101A1">
      <w:pPr>
        <w:spacing w:after="0" w:line="240" w:lineRule="auto"/>
        <w:ind w:right="-568"/>
        <w:jc w:val="both"/>
        <w:rPr>
          <w:rFonts w:ascii="Arial" w:hAnsi="Arial" w:cs="Arial"/>
          <w:sz w:val="24"/>
          <w:szCs w:val="24"/>
        </w:rPr>
      </w:pPr>
      <w:r w:rsidRPr="00C77091">
        <w:rPr>
          <w:rFonts w:ascii="Arial" w:hAnsi="Arial" w:cs="Arial"/>
          <w:sz w:val="24"/>
          <w:szCs w:val="24"/>
        </w:rPr>
        <w:t>Se desprende de la</w:t>
      </w:r>
      <w:r w:rsidR="00956F69" w:rsidRPr="00C77091">
        <w:rPr>
          <w:rFonts w:ascii="Arial" w:hAnsi="Arial" w:cs="Arial"/>
          <w:sz w:val="24"/>
          <w:szCs w:val="24"/>
        </w:rPr>
        <w:t>s</w:t>
      </w:r>
      <w:r w:rsidRPr="00C77091">
        <w:rPr>
          <w:rFonts w:ascii="Arial" w:hAnsi="Arial" w:cs="Arial"/>
          <w:sz w:val="24"/>
          <w:szCs w:val="24"/>
        </w:rPr>
        <w:t xml:space="preserve"> normas anteriores que los recursos provenientes del CREE </w:t>
      </w:r>
      <w:r w:rsidR="00C77091" w:rsidRPr="00C77091">
        <w:rPr>
          <w:rFonts w:ascii="Arial" w:hAnsi="Arial" w:cs="Arial"/>
          <w:sz w:val="24"/>
          <w:szCs w:val="24"/>
        </w:rPr>
        <w:t>son transferidos por el Ministerio de Hacienda y Crédito Público o a través del Ministerio de Educación Nacional, directamente a una cuenta bancaria de la universidad pública, sin registrarse como recursos del presupuesto del nivel central</w:t>
      </w:r>
      <w:r w:rsidR="009E500E" w:rsidRPr="00C77091">
        <w:rPr>
          <w:rFonts w:ascii="Arial" w:hAnsi="Arial" w:cs="Arial"/>
          <w:sz w:val="24"/>
          <w:szCs w:val="24"/>
        </w:rPr>
        <w:t>.</w:t>
      </w:r>
    </w:p>
    <w:p w14:paraId="64E5B12E" w14:textId="5ACB1451" w:rsidR="00C77091" w:rsidRDefault="00C77091" w:rsidP="007101A1">
      <w:pPr>
        <w:spacing w:after="0" w:line="240" w:lineRule="auto"/>
        <w:ind w:right="-568"/>
        <w:jc w:val="both"/>
        <w:rPr>
          <w:rFonts w:ascii="Arial" w:hAnsi="Arial" w:cs="Arial"/>
          <w:sz w:val="24"/>
          <w:szCs w:val="24"/>
        </w:rPr>
      </w:pPr>
    </w:p>
    <w:p w14:paraId="5AF4493E" w14:textId="2D46EBC6" w:rsidR="00FB687C" w:rsidRPr="004625EF" w:rsidRDefault="00680357" w:rsidP="007101A1">
      <w:pPr>
        <w:shd w:val="clear" w:color="auto" w:fill="FFFFFF"/>
        <w:spacing w:after="0" w:line="240" w:lineRule="auto"/>
        <w:ind w:right="-568"/>
        <w:jc w:val="both"/>
        <w:rPr>
          <w:rFonts w:ascii="Arial" w:hAnsi="Arial" w:cs="Arial"/>
          <w:b/>
          <w:bCs/>
          <w:lang w:eastAsia="es-CO"/>
        </w:rPr>
      </w:pPr>
      <w:r w:rsidRPr="004625EF">
        <w:rPr>
          <w:rFonts w:ascii="Arial" w:hAnsi="Arial" w:cs="Arial"/>
          <w:b/>
          <w:bCs/>
          <w:sz w:val="24"/>
          <w:szCs w:val="24"/>
          <w:lang w:eastAsia="es-CO"/>
        </w:rPr>
        <w:t xml:space="preserve">2. </w:t>
      </w:r>
      <w:r w:rsidR="00FB687C" w:rsidRPr="004625EF">
        <w:rPr>
          <w:rFonts w:ascii="Arial" w:hAnsi="Arial" w:cs="Arial"/>
          <w:b/>
          <w:bCs/>
          <w:sz w:val="24"/>
          <w:szCs w:val="24"/>
          <w:lang w:eastAsia="es-CO"/>
        </w:rPr>
        <w:t>Exenciones al gravamen a los movimientos financieros – G. M. F.</w:t>
      </w:r>
    </w:p>
    <w:p w14:paraId="79E16F1F" w14:textId="77777777" w:rsidR="00FB687C" w:rsidRPr="0018634D" w:rsidRDefault="00FB687C" w:rsidP="007101A1">
      <w:pPr>
        <w:shd w:val="clear" w:color="auto" w:fill="FFFFFF"/>
        <w:spacing w:after="0" w:line="240" w:lineRule="auto"/>
        <w:ind w:right="-568"/>
        <w:jc w:val="both"/>
        <w:rPr>
          <w:rFonts w:ascii="Arial" w:hAnsi="Arial" w:cs="Arial"/>
          <w:sz w:val="24"/>
          <w:szCs w:val="24"/>
          <w:lang w:eastAsia="es-CO"/>
        </w:rPr>
      </w:pPr>
    </w:p>
    <w:p w14:paraId="78D687EF" w14:textId="602801FF"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El gravamen a los movimientos financieros (GMF) es un tributo indirecto del orden nacional y administrado por la DIAN, aplicado a las transacciones financieras mediante las cuales se disponga de recursos depositados en cuentas corrientes o de ahorros, así como en cuentas de depósito en el Banco de la República y los giros de cheque de gerencia.</w:t>
      </w:r>
    </w:p>
    <w:p w14:paraId="50EDF3B4" w14:textId="77777777" w:rsidR="00FB687C" w:rsidRPr="0018634D" w:rsidRDefault="00FB687C" w:rsidP="007101A1">
      <w:pPr>
        <w:shd w:val="clear" w:color="auto" w:fill="FFFFFF"/>
        <w:spacing w:after="0" w:line="240" w:lineRule="auto"/>
        <w:ind w:right="-568"/>
        <w:jc w:val="both"/>
        <w:rPr>
          <w:rFonts w:ascii="Arial" w:hAnsi="Arial" w:cs="Arial"/>
          <w:sz w:val="24"/>
          <w:szCs w:val="24"/>
          <w:lang w:eastAsia="es-CO"/>
        </w:rPr>
      </w:pPr>
    </w:p>
    <w:p w14:paraId="33D42258" w14:textId="008929B6"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 xml:space="preserve">Dentro del marco legal correspondiente a este impuesto también se contempló un régimen de exenciones tributarias contenido en el artículo 879 del Estatuto Tributario Nacional, de las cuales resulta relevante para el caso en estudio la contenida en </w:t>
      </w:r>
      <w:r w:rsidRPr="0018634D">
        <w:rPr>
          <w:rFonts w:ascii="Arial" w:hAnsi="Arial" w:cs="Arial"/>
          <w:sz w:val="24"/>
          <w:szCs w:val="24"/>
          <w:lang w:eastAsia="es-CO"/>
        </w:rPr>
        <w:t xml:space="preserve">el </w:t>
      </w:r>
      <w:r w:rsidRPr="004625EF">
        <w:rPr>
          <w:rFonts w:ascii="Arial" w:hAnsi="Arial" w:cs="Arial"/>
          <w:sz w:val="24"/>
          <w:szCs w:val="24"/>
          <w:lang w:eastAsia="es-CO"/>
        </w:rPr>
        <w:t xml:space="preserve">numeral 9.  </w:t>
      </w:r>
    </w:p>
    <w:p w14:paraId="6C366993" w14:textId="77777777"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p>
    <w:p w14:paraId="7E7D23E9" w14:textId="368AAC23"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18634D">
        <w:rPr>
          <w:rFonts w:ascii="Arial" w:hAnsi="Arial" w:cs="Arial"/>
          <w:sz w:val="24"/>
          <w:szCs w:val="24"/>
          <w:lang w:eastAsia="es-CO"/>
        </w:rPr>
        <w:t>El</w:t>
      </w:r>
      <w:r w:rsidRPr="004625EF">
        <w:rPr>
          <w:rFonts w:ascii="Arial" w:hAnsi="Arial" w:cs="Arial"/>
          <w:sz w:val="24"/>
          <w:szCs w:val="24"/>
          <w:lang w:eastAsia="es-CO"/>
        </w:rPr>
        <w:t xml:space="preserve"> mencionado numeral dispone:</w:t>
      </w:r>
    </w:p>
    <w:p w14:paraId="21D7970F" w14:textId="77777777" w:rsidR="00FB687C" w:rsidRPr="0018634D" w:rsidRDefault="00FB687C" w:rsidP="007101A1">
      <w:pPr>
        <w:shd w:val="clear" w:color="auto" w:fill="FFFFFF"/>
        <w:spacing w:after="0" w:line="240" w:lineRule="auto"/>
        <w:ind w:right="-568"/>
        <w:jc w:val="both"/>
        <w:rPr>
          <w:rFonts w:ascii="Arial" w:hAnsi="Arial" w:cs="Arial"/>
          <w:lang w:eastAsia="es-CO"/>
        </w:rPr>
      </w:pPr>
    </w:p>
    <w:p w14:paraId="66CAE633" w14:textId="77777777" w:rsidR="00FB687C" w:rsidRPr="0018634D" w:rsidRDefault="00FB687C" w:rsidP="007101A1">
      <w:pPr>
        <w:shd w:val="clear" w:color="auto" w:fill="FFFFFF"/>
        <w:spacing w:after="0" w:line="240" w:lineRule="auto"/>
        <w:ind w:left="284" w:right="-568"/>
        <w:jc w:val="both"/>
        <w:rPr>
          <w:rFonts w:ascii="Arial" w:hAnsi="Arial" w:cs="Arial"/>
          <w:i/>
        </w:rPr>
      </w:pPr>
      <w:bookmarkStart w:id="5" w:name="879"/>
      <w:r w:rsidRPr="0018634D">
        <w:rPr>
          <w:rFonts w:ascii="Arial" w:hAnsi="Arial" w:cs="Arial"/>
          <w:i/>
        </w:rPr>
        <w:t>“ARTICULO 879. EXENCIONES DEL GMF</w:t>
      </w:r>
      <w:r w:rsidRPr="0018634D">
        <w:rPr>
          <w:rFonts w:ascii="Arial" w:hAnsi="Arial" w:cs="Arial"/>
          <w:b/>
          <w:bCs/>
          <w:i/>
        </w:rPr>
        <w:t>.</w:t>
      </w:r>
      <w:bookmarkEnd w:id="5"/>
      <w:r w:rsidRPr="0018634D">
        <w:rPr>
          <w:rFonts w:ascii="Arial" w:hAnsi="Arial" w:cs="Arial"/>
          <w:i/>
        </w:rPr>
        <w:t>  Se encuentran exentos del Gravamen a los Movimientos Financieros:</w:t>
      </w:r>
    </w:p>
    <w:p w14:paraId="10EE24DF" w14:textId="77777777" w:rsidR="00FB687C" w:rsidRPr="0018634D" w:rsidRDefault="00FB687C" w:rsidP="007101A1">
      <w:pPr>
        <w:shd w:val="clear" w:color="auto" w:fill="FFFFFF"/>
        <w:spacing w:after="0" w:line="240" w:lineRule="auto"/>
        <w:ind w:left="284" w:right="-568"/>
        <w:jc w:val="both"/>
        <w:rPr>
          <w:rFonts w:ascii="Arial" w:hAnsi="Arial" w:cs="Arial"/>
          <w:i/>
        </w:rPr>
      </w:pPr>
    </w:p>
    <w:p w14:paraId="1B093989" w14:textId="77777777" w:rsidR="00FB687C" w:rsidRPr="0018634D" w:rsidRDefault="00FB687C" w:rsidP="007101A1">
      <w:pPr>
        <w:shd w:val="clear" w:color="auto" w:fill="FFFFFF"/>
        <w:spacing w:after="0" w:line="240" w:lineRule="auto"/>
        <w:ind w:left="284" w:right="-568"/>
        <w:jc w:val="both"/>
        <w:rPr>
          <w:rFonts w:ascii="Arial" w:hAnsi="Arial" w:cs="Arial"/>
          <w:i/>
        </w:rPr>
      </w:pPr>
      <w:r w:rsidRPr="0018634D">
        <w:rPr>
          <w:rFonts w:ascii="Arial" w:hAnsi="Arial" w:cs="Arial"/>
          <w:i/>
        </w:rPr>
        <w:t xml:space="preserve">9. </w:t>
      </w:r>
      <w:r w:rsidRPr="00682651">
        <w:rPr>
          <w:rFonts w:ascii="Arial" w:hAnsi="Arial" w:cs="Arial"/>
          <w:b/>
          <w:bCs/>
          <w:i/>
          <w:u w:val="single"/>
        </w:rPr>
        <w:t>El manejo de recursos públicos que hagan las tesorerías de las entidades territoriales</w:t>
      </w:r>
      <w:r w:rsidRPr="0018634D">
        <w:rPr>
          <w:rFonts w:ascii="Arial" w:hAnsi="Arial" w:cs="Arial"/>
          <w:i/>
          <w:u w:val="single"/>
        </w:rPr>
        <w:t>.</w:t>
      </w:r>
    </w:p>
    <w:p w14:paraId="4BF0EAED" w14:textId="77777777" w:rsidR="00FB687C" w:rsidRPr="0018634D" w:rsidRDefault="00FB687C" w:rsidP="007101A1">
      <w:pPr>
        <w:shd w:val="clear" w:color="auto" w:fill="FFFFFF"/>
        <w:spacing w:after="0" w:line="240" w:lineRule="auto"/>
        <w:ind w:left="284" w:right="-568"/>
        <w:jc w:val="both"/>
        <w:rPr>
          <w:rFonts w:ascii="Arial" w:hAnsi="Arial" w:cs="Arial"/>
          <w:i/>
        </w:rPr>
      </w:pPr>
      <w:r w:rsidRPr="0018634D">
        <w:rPr>
          <w:rFonts w:ascii="Arial" w:hAnsi="Arial" w:cs="Arial"/>
          <w:i/>
        </w:rPr>
        <w:t>[…]</w:t>
      </w:r>
    </w:p>
    <w:p w14:paraId="78464BD9" w14:textId="77777777"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p>
    <w:p w14:paraId="3BD9531A" w14:textId="59F71DFD"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 xml:space="preserve">Es importante tener presente que las exenciones tributarias deben tener soporte legal, estar expresamente contempladas en la ley y son taxativas y, por ende, de aplicación restrictiva, lo cual impide extender beneficios a sujetos o que la ley no ha mencionado, </w:t>
      </w:r>
      <w:r w:rsidRPr="004625EF">
        <w:rPr>
          <w:rFonts w:ascii="Arial" w:hAnsi="Arial" w:cs="Arial"/>
          <w:sz w:val="24"/>
          <w:szCs w:val="24"/>
          <w:lang w:eastAsia="es-CO"/>
        </w:rPr>
        <w:lastRenderedPageBreak/>
        <w:t>esto es, es improcedente aplicarlas por analogía.  Así lo ha precisado el Consejo de Estado</w:t>
      </w:r>
      <w:r w:rsidRPr="004625EF">
        <w:rPr>
          <w:rStyle w:val="Refdenotaalpie"/>
          <w:rFonts w:ascii="Arial" w:hAnsi="Arial" w:cs="Arial"/>
          <w:sz w:val="24"/>
          <w:szCs w:val="24"/>
          <w:lang w:eastAsia="es-CO"/>
        </w:rPr>
        <w:footnoteReference w:id="6"/>
      </w:r>
      <w:r w:rsidRPr="004625EF">
        <w:rPr>
          <w:rFonts w:ascii="Arial" w:hAnsi="Arial" w:cs="Arial"/>
          <w:sz w:val="24"/>
          <w:szCs w:val="24"/>
          <w:lang w:eastAsia="es-CO"/>
        </w:rPr>
        <w:t xml:space="preserve"> al señalar lo siguiente: </w:t>
      </w:r>
    </w:p>
    <w:p w14:paraId="1B55E696" w14:textId="77777777"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p>
    <w:p w14:paraId="497BCFAC" w14:textId="77777777" w:rsidR="00FB687C" w:rsidRPr="0018634D" w:rsidRDefault="00FB687C" w:rsidP="007101A1">
      <w:pPr>
        <w:shd w:val="clear" w:color="auto" w:fill="FFFFFF"/>
        <w:spacing w:after="0" w:line="240" w:lineRule="auto"/>
        <w:ind w:left="284" w:right="-568"/>
        <w:jc w:val="both"/>
        <w:rPr>
          <w:rFonts w:ascii="Arial" w:hAnsi="Arial" w:cs="Arial"/>
          <w:i/>
          <w:iCs/>
        </w:rPr>
      </w:pPr>
      <w:r w:rsidRPr="0018634D">
        <w:rPr>
          <w:rFonts w:ascii="Arial" w:hAnsi="Arial" w:cs="Arial"/>
          <w:i/>
          <w:iCs/>
          <w:shd w:val="clear" w:color="auto" w:fill="FFFFFF"/>
        </w:rPr>
        <w:t>[…] Ahora bien, el artículo 154 de la Constitución Política, establece que las leyes que “decreten exenciones de impuestos, contribuciones o tasas nacionales” sólo podrán ser “reformadas o dictadas por iniciativa del gobierno”. De lo anterior se deriva que las exenciones son de creación legal, expresas y taxativas y, por ende, de aplicación restrictiva, lo cual impide extender el beneficio a sujetos o hechos que la ley no ha mencionado, es decir, no es posible aplicarlas por analogía</w:t>
      </w:r>
      <w:r w:rsidRPr="0018634D">
        <w:rPr>
          <w:rFonts w:ascii="Arial" w:hAnsi="Arial" w:cs="Arial"/>
          <w:i/>
          <w:iCs/>
        </w:rPr>
        <w:t xml:space="preserve">.” </w:t>
      </w:r>
    </w:p>
    <w:p w14:paraId="15856762" w14:textId="77777777"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p>
    <w:p w14:paraId="422003D6" w14:textId="01E54C26" w:rsidR="00FB687C" w:rsidRPr="004625EF" w:rsidRDefault="00FB687C" w:rsidP="007101A1">
      <w:pPr>
        <w:shd w:val="clear" w:color="auto" w:fill="FFFFFF"/>
        <w:spacing w:after="0" w:line="240" w:lineRule="auto"/>
        <w:ind w:right="-568"/>
        <w:jc w:val="both"/>
        <w:rPr>
          <w:rFonts w:ascii="Arial" w:hAnsi="Arial" w:cs="Arial"/>
          <w:b/>
          <w:bCs/>
          <w:sz w:val="24"/>
          <w:szCs w:val="24"/>
          <w:lang w:eastAsia="es-CO"/>
        </w:rPr>
      </w:pPr>
      <w:r w:rsidRPr="004625EF">
        <w:rPr>
          <w:rFonts w:ascii="Arial" w:hAnsi="Arial" w:cs="Arial"/>
          <w:sz w:val="24"/>
          <w:szCs w:val="24"/>
          <w:lang w:eastAsia="es-CO"/>
        </w:rPr>
        <w:t>Dado su carácter restrictivo, pasaremos a explicar cuándo hay lugar a acceder a la exenci</w:t>
      </w:r>
      <w:r w:rsidRPr="0018634D">
        <w:rPr>
          <w:rFonts w:ascii="Arial" w:hAnsi="Arial" w:cs="Arial"/>
          <w:sz w:val="24"/>
          <w:szCs w:val="24"/>
          <w:lang w:eastAsia="es-CO"/>
        </w:rPr>
        <w:t>ón</w:t>
      </w:r>
      <w:r w:rsidRPr="004625EF">
        <w:rPr>
          <w:rFonts w:ascii="Arial" w:hAnsi="Arial" w:cs="Arial"/>
          <w:sz w:val="24"/>
          <w:szCs w:val="24"/>
          <w:lang w:eastAsia="es-CO"/>
        </w:rPr>
        <w:t xml:space="preserve"> tributaria mencionada.  </w:t>
      </w:r>
    </w:p>
    <w:p w14:paraId="61400CC5" w14:textId="77777777" w:rsidR="00FB687C" w:rsidRPr="004625EF" w:rsidRDefault="00FB687C" w:rsidP="007101A1">
      <w:pPr>
        <w:shd w:val="clear" w:color="auto" w:fill="FFFFFF"/>
        <w:spacing w:after="0" w:line="240" w:lineRule="auto"/>
        <w:ind w:right="-568"/>
        <w:jc w:val="both"/>
        <w:rPr>
          <w:rFonts w:ascii="Arial" w:hAnsi="Arial" w:cs="Arial"/>
          <w:b/>
          <w:bCs/>
          <w:sz w:val="24"/>
          <w:szCs w:val="24"/>
          <w:lang w:eastAsia="es-CO"/>
        </w:rPr>
      </w:pPr>
    </w:p>
    <w:p w14:paraId="7136CE36" w14:textId="77777777" w:rsidR="00FB687C" w:rsidRPr="0018634D" w:rsidRDefault="00FB687C" w:rsidP="007101A1">
      <w:pPr>
        <w:pStyle w:val="Prrafodelista"/>
        <w:numPr>
          <w:ilvl w:val="1"/>
          <w:numId w:val="2"/>
        </w:numPr>
        <w:shd w:val="clear" w:color="auto" w:fill="FFFFFF"/>
        <w:ind w:left="0" w:right="-568" w:firstLine="0"/>
        <w:jc w:val="both"/>
        <w:rPr>
          <w:rFonts w:ascii="Arial" w:hAnsi="Arial" w:cs="Arial"/>
          <w:b/>
          <w:bCs/>
          <w:lang w:eastAsia="es-CO"/>
        </w:rPr>
      </w:pPr>
      <w:r w:rsidRPr="0018634D">
        <w:rPr>
          <w:rFonts w:ascii="Arial" w:hAnsi="Arial" w:cs="Arial"/>
          <w:b/>
          <w:bCs/>
        </w:rPr>
        <w:t>Manejo de recursos públicos que hagan las tesorerías de las entidades territoriales</w:t>
      </w:r>
    </w:p>
    <w:p w14:paraId="5E91D5FE" w14:textId="77777777" w:rsidR="00FB687C" w:rsidRPr="004625EF" w:rsidRDefault="00FB687C" w:rsidP="007101A1">
      <w:pPr>
        <w:shd w:val="clear" w:color="auto" w:fill="FFFFFF"/>
        <w:spacing w:after="0" w:line="240" w:lineRule="auto"/>
        <w:ind w:right="-568"/>
        <w:jc w:val="both"/>
        <w:rPr>
          <w:rFonts w:ascii="Arial" w:hAnsi="Arial" w:cs="Arial"/>
          <w:b/>
          <w:bCs/>
          <w:sz w:val="24"/>
          <w:szCs w:val="24"/>
          <w:lang w:eastAsia="es-CO"/>
        </w:rPr>
      </w:pPr>
    </w:p>
    <w:p w14:paraId="1BCB4C2A" w14:textId="77777777" w:rsidR="00FB687C" w:rsidRPr="004625EF" w:rsidRDefault="00FB687C" w:rsidP="007101A1">
      <w:pPr>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Como se mencionó renglones atrás, estarán exentos del gravamen a los movimientos financieros el manejo de recursos públicos que hagan las tesorerías de las entidades territoriales.  Respecto a la identificación de estos recursos, el artículo 1.4.2.2.3. del Decreto 1625 de 2016, “</w:t>
      </w:r>
      <w:r w:rsidRPr="004625EF">
        <w:rPr>
          <w:rFonts w:ascii="Arial" w:hAnsi="Arial" w:cs="Arial"/>
          <w:i/>
          <w:iCs/>
          <w:sz w:val="24"/>
          <w:szCs w:val="24"/>
          <w:lang w:eastAsia="es-CO"/>
        </w:rPr>
        <w:t>Por medio del cual se expide el Decreto Único Reglamentario en materia tributaria</w:t>
      </w:r>
      <w:r w:rsidRPr="004625EF">
        <w:rPr>
          <w:rFonts w:ascii="Arial" w:hAnsi="Arial" w:cs="Arial"/>
          <w:sz w:val="24"/>
          <w:szCs w:val="24"/>
          <w:lang w:eastAsia="es-CO"/>
        </w:rPr>
        <w:t xml:space="preserve">”, indicó: </w:t>
      </w:r>
    </w:p>
    <w:p w14:paraId="6135A765" w14:textId="77777777"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p>
    <w:p w14:paraId="6263BA1C" w14:textId="77777777" w:rsidR="00FB687C" w:rsidRPr="0018634D" w:rsidRDefault="00FB687C" w:rsidP="007101A1">
      <w:pPr>
        <w:shd w:val="clear" w:color="auto" w:fill="FFFFFF"/>
        <w:ind w:left="284" w:right="-568"/>
        <w:jc w:val="both"/>
        <w:rPr>
          <w:rFonts w:ascii="Arial" w:hAnsi="Arial" w:cs="Arial"/>
          <w:i/>
          <w:lang w:eastAsia="es-CO"/>
        </w:rPr>
      </w:pPr>
      <w:r w:rsidRPr="0018634D">
        <w:rPr>
          <w:rFonts w:ascii="Arial" w:hAnsi="Arial" w:cs="Arial"/>
          <w:b/>
          <w:bCs/>
          <w:i/>
          <w:lang w:eastAsia="es-CO"/>
        </w:rPr>
        <w:t>“</w:t>
      </w:r>
      <w:r w:rsidRPr="0018634D">
        <w:rPr>
          <w:rFonts w:ascii="Arial" w:hAnsi="Arial" w:cs="Arial"/>
          <w:i/>
          <w:lang w:eastAsia="es-CO"/>
        </w:rPr>
        <w:t>ARTÍCULO 1.4.2.2.3. </w:t>
      </w:r>
      <w:r w:rsidRPr="0018634D">
        <w:rPr>
          <w:rFonts w:ascii="Arial" w:hAnsi="Arial" w:cs="Arial"/>
          <w:i/>
          <w:iCs/>
          <w:lang w:eastAsia="es-CO"/>
        </w:rPr>
        <w:t>Identificación de las cuentas por parte de las tesorerías de las entidades territoriales. </w:t>
      </w:r>
      <w:r w:rsidRPr="0018634D">
        <w:rPr>
          <w:rFonts w:ascii="Arial" w:hAnsi="Arial" w:cs="Arial"/>
          <w:i/>
          <w:lang w:eastAsia="es-CO"/>
        </w:rPr>
        <w:t xml:space="preserve">Para efectos del numeral 9 del artículo 879 del Estatuto Tributario </w:t>
      </w:r>
      <w:r w:rsidRPr="00682651">
        <w:rPr>
          <w:rFonts w:ascii="Arial" w:hAnsi="Arial" w:cs="Arial"/>
          <w:b/>
          <w:bCs/>
          <w:i/>
          <w:u w:val="single"/>
          <w:lang w:eastAsia="es-CO"/>
        </w:rPr>
        <w:t>se entenderá como “manejo de recursos públicos” aquellas operaciones mediante las cuales se efectúa la ejecución del Presupuesto General Territorial en forma directa o a través de sus órganos ejecutores respectivos</w:t>
      </w:r>
      <w:r w:rsidRPr="0018634D">
        <w:rPr>
          <w:rFonts w:ascii="Arial" w:hAnsi="Arial" w:cs="Arial"/>
          <w:i/>
          <w:lang w:eastAsia="es-CO"/>
        </w:rPr>
        <w:t>, salvo que se trate de recursos propios de los establecimientos públicos del orden territorial los cuales no están exentos de gravamen a los movimientos financieros y como “tesorerías de las entidades territoriales” aquellas instancias administrativas del orden territorial asimilables en cuanto a sus funciones legales a la Dirección General de Crédito Público y Tesoro Nacional. </w:t>
      </w:r>
    </w:p>
    <w:p w14:paraId="2371138B" w14:textId="29523144"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Se tiene de lo anterior, que se entenderá como manejo de recursos públicos aquellas operaciones mediante las cuales se efectúa la ejecución del presupuesto general territorial en forma directa o través de sus órganos ejecutores respectivos, excepto que se trate de recursos propios de los establecimientos públicos del orden territorial, por cuanto éstos no estarán exentos del gravamen a los movimientos financieros.</w:t>
      </w:r>
    </w:p>
    <w:p w14:paraId="35121895" w14:textId="77777777" w:rsidR="00B77C7E" w:rsidRPr="0018634D" w:rsidRDefault="00B77C7E" w:rsidP="007101A1">
      <w:pPr>
        <w:shd w:val="clear" w:color="auto" w:fill="FFFFFF"/>
        <w:spacing w:after="0" w:line="240" w:lineRule="auto"/>
        <w:ind w:right="-568"/>
        <w:jc w:val="both"/>
        <w:rPr>
          <w:rFonts w:ascii="Arial" w:hAnsi="Arial" w:cs="Arial"/>
          <w:sz w:val="24"/>
          <w:szCs w:val="24"/>
          <w:lang w:eastAsia="es-CO"/>
        </w:rPr>
      </w:pPr>
    </w:p>
    <w:p w14:paraId="4407738B" w14:textId="377C428E"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 xml:space="preserve">De igual manera, se precisó que se entienden como tesorerías de las entidades territoriales las instancias administrativas del orden territorial, cuyas funciones sean asimilables a las realizadas por Dirección General del Tesoro Nacional, que, en el caso del Distrito, son las realizadas por la Dirección Distrital de Tesorería de esta entidad.  </w:t>
      </w:r>
    </w:p>
    <w:p w14:paraId="76CC2301" w14:textId="77777777" w:rsidR="00B77C7E" w:rsidRPr="0018634D" w:rsidRDefault="00B77C7E" w:rsidP="007101A1">
      <w:pPr>
        <w:shd w:val="clear" w:color="auto" w:fill="FFFFFF"/>
        <w:spacing w:after="0" w:line="240" w:lineRule="auto"/>
        <w:ind w:right="-568"/>
        <w:jc w:val="both"/>
        <w:rPr>
          <w:rFonts w:ascii="Arial" w:hAnsi="Arial" w:cs="Arial"/>
          <w:sz w:val="24"/>
          <w:szCs w:val="24"/>
          <w:lang w:eastAsia="es-CO"/>
        </w:rPr>
      </w:pPr>
    </w:p>
    <w:p w14:paraId="2C26BEB6" w14:textId="2C0C8161"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 xml:space="preserve">Adicionalmente, se otorgó la competencia a los tesoreros departamentales, municipales o distritales para la identificación ante los establecimientos de crédito </w:t>
      </w:r>
      <w:r w:rsidRPr="004625EF">
        <w:rPr>
          <w:rFonts w:ascii="Arial" w:hAnsi="Arial" w:cs="Arial"/>
          <w:sz w:val="24"/>
          <w:szCs w:val="24"/>
          <w:lang w:eastAsia="es-CO"/>
        </w:rPr>
        <w:lastRenderedPageBreak/>
        <w:t>respectivos, de las cuentas corrientes o de ahorros, en las que se manejen exclusivamente recursos públicos del Presupuesto General Territorial.</w:t>
      </w:r>
    </w:p>
    <w:p w14:paraId="07FD575C" w14:textId="77777777" w:rsidR="006C1DD8" w:rsidRDefault="006C1DD8" w:rsidP="007101A1">
      <w:pPr>
        <w:shd w:val="clear" w:color="auto" w:fill="FFFFFF"/>
        <w:spacing w:after="0" w:line="240" w:lineRule="auto"/>
        <w:ind w:right="-568"/>
        <w:jc w:val="both"/>
        <w:rPr>
          <w:rFonts w:ascii="Arial" w:hAnsi="Arial" w:cs="Arial"/>
          <w:sz w:val="24"/>
          <w:szCs w:val="24"/>
          <w:lang w:eastAsia="es-CO"/>
        </w:rPr>
      </w:pPr>
    </w:p>
    <w:p w14:paraId="7005283B" w14:textId="5138B825"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En este sentido, en desarrollo de las premisas tratadas con anterioridad, la Dirección de Impuestos y Aduanas Nacionales – DIAN -, mediante Concepto Unificado sobre el Gravamen a los Movimientos Financieros 1466 del 29 de diciembre de 2017, indicó:</w:t>
      </w:r>
    </w:p>
    <w:p w14:paraId="5F5549C3" w14:textId="77777777" w:rsidR="00B77C7E" w:rsidRPr="0018634D" w:rsidRDefault="00B77C7E" w:rsidP="007101A1">
      <w:pPr>
        <w:shd w:val="clear" w:color="auto" w:fill="FFFFFF"/>
        <w:ind w:left="284" w:right="-568"/>
        <w:jc w:val="both"/>
        <w:rPr>
          <w:rFonts w:ascii="Arial" w:hAnsi="Arial" w:cs="Arial"/>
          <w:i/>
        </w:rPr>
      </w:pPr>
    </w:p>
    <w:p w14:paraId="05205866" w14:textId="6499DF95" w:rsidR="00FB687C" w:rsidRPr="0018634D" w:rsidRDefault="00FB687C" w:rsidP="007101A1">
      <w:pPr>
        <w:shd w:val="clear" w:color="auto" w:fill="FFFFFF"/>
        <w:ind w:left="284" w:right="-568"/>
        <w:jc w:val="both"/>
        <w:rPr>
          <w:rFonts w:ascii="Arial" w:hAnsi="Arial" w:cs="Arial"/>
          <w:i/>
        </w:rPr>
      </w:pPr>
      <w:r w:rsidRPr="0018634D">
        <w:rPr>
          <w:rFonts w:ascii="Arial" w:hAnsi="Arial" w:cs="Arial"/>
          <w:i/>
        </w:rPr>
        <w:t xml:space="preserve">“[…] Por otra parte, el artículo 1.4.2.2.3. del Decreto 1625 de 2016, señala que para efectos del numeral 9º del artículo 879 del Estatuto Tributario, se entenderá como “manejo de recursos públicos”, aquellas operaciones mediante las cuales se efectúa la ejecución del presupuesto general territorial en forma directa o a través de sus órganos ejecutores respectivos, salvo que se trate de recursos propios de los establecimientos públicos, los cuales no están exentos, y como tesorerías de las entidades territoriales aquellas instancias administrativas del orden territorial asimilables en cuanto a sus funciones legales a la Dirección General de Crédito Público y del Tesoro Nacional. </w:t>
      </w:r>
    </w:p>
    <w:p w14:paraId="28DA908F" w14:textId="77777777" w:rsidR="00FB687C" w:rsidRPr="0018634D" w:rsidRDefault="00FB687C" w:rsidP="007101A1">
      <w:pPr>
        <w:shd w:val="clear" w:color="auto" w:fill="FFFFFF"/>
        <w:ind w:left="284" w:right="-568"/>
        <w:jc w:val="both"/>
        <w:rPr>
          <w:rFonts w:ascii="Arial" w:hAnsi="Arial" w:cs="Arial"/>
          <w:i/>
        </w:rPr>
      </w:pPr>
      <w:r w:rsidRPr="0018634D">
        <w:rPr>
          <w:rFonts w:ascii="Arial" w:hAnsi="Arial" w:cs="Arial"/>
          <w:i/>
        </w:rPr>
        <w:t xml:space="preserve">Para el caso materia de análisis resulta necesario analizar si se ajusta a una operación mediante la cual se efectúa la ejecución del Presupuesto General de la Nación. </w:t>
      </w:r>
    </w:p>
    <w:p w14:paraId="68318A4F" w14:textId="77777777" w:rsidR="00FB687C" w:rsidRPr="0018634D" w:rsidRDefault="00FB687C" w:rsidP="007101A1">
      <w:pPr>
        <w:shd w:val="clear" w:color="auto" w:fill="FFFFFF"/>
        <w:ind w:left="284" w:right="-568"/>
        <w:jc w:val="both"/>
        <w:rPr>
          <w:rFonts w:ascii="Arial" w:hAnsi="Arial" w:cs="Arial"/>
          <w:i/>
        </w:rPr>
      </w:pPr>
      <w:r w:rsidRPr="0018634D">
        <w:rPr>
          <w:rFonts w:ascii="Arial" w:hAnsi="Arial" w:cs="Arial"/>
          <w:i/>
        </w:rPr>
        <w:t xml:space="preserve">Lo anterior teniendo en cuenta que este despacho ha señalado que son relevantes, para efectos de la exención, las operaciones mediante las cuales se ejecute el presupuesto nacional o territorial por los órganos ejecutores. </w:t>
      </w:r>
    </w:p>
    <w:p w14:paraId="791FBA57" w14:textId="77777777" w:rsidR="00FB687C" w:rsidRPr="0018634D" w:rsidRDefault="00FB687C" w:rsidP="007101A1">
      <w:pPr>
        <w:shd w:val="clear" w:color="auto" w:fill="FFFFFF"/>
        <w:ind w:left="284" w:right="-568"/>
        <w:jc w:val="both"/>
        <w:rPr>
          <w:rFonts w:ascii="Arial" w:hAnsi="Arial" w:cs="Arial"/>
          <w:i/>
        </w:rPr>
      </w:pPr>
      <w:r w:rsidRPr="0018634D">
        <w:rPr>
          <w:rFonts w:ascii="Arial" w:hAnsi="Arial" w:cs="Arial"/>
          <w:i/>
        </w:rPr>
        <w:t xml:space="preserve">En ese sentido, una apropiación presupuestal se ejecuta por regla general cuando se contrata, se comprometen los recursos y se ordenan los gastos, de acuerdo con el programa de gastos aprobados en la ley de presupuesto para el nivel nacional, tema explicado en la Sentencia de la Corte Constitucional C-192 de 1997, Magistrado Ponente Dr. Alejandro Martínez Caballero. </w:t>
      </w:r>
    </w:p>
    <w:p w14:paraId="1AB122B7" w14:textId="77777777" w:rsidR="00FB687C" w:rsidRPr="0018634D" w:rsidRDefault="00FB687C" w:rsidP="007101A1">
      <w:pPr>
        <w:shd w:val="clear" w:color="auto" w:fill="FFFFFF"/>
        <w:ind w:left="284" w:right="-568"/>
        <w:jc w:val="both"/>
        <w:rPr>
          <w:rFonts w:ascii="Arial" w:hAnsi="Arial" w:cs="Arial"/>
          <w:i/>
          <w:u w:val="single"/>
          <w:lang w:eastAsia="es-CO"/>
        </w:rPr>
      </w:pPr>
      <w:r w:rsidRPr="0018634D">
        <w:rPr>
          <w:rFonts w:ascii="Arial" w:hAnsi="Arial" w:cs="Arial"/>
          <w:i/>
          <w:u w:val="single"/>
        </w:rPr>
        <w:t xml:space="preserve">Así las cosas, la exención del gravamen a los movimientos financieros -GMF va hasta la transferencia de los recursos del sistema por parte de las entidades ejecutoras, no a los contratistas o partes ejecutoras contractuales, ya sea con ocasión de un contrato o convenio; razón por la cual, en este caso, la disposición de recursos provenientes de cuentas corrientes, de ahorro, o de depósito de las cuales sea titular la ESP y la ESE no está cubierta por la exención de este impuesto. </w:t>
      </w:r>
      <w:r w:rsidRPr="0018634D">
        <w:rPr>
          <w:rFonts w:ascii="Arial" w:hAnsi="Arial" w:cs="Arial"/>
          <w:i/>
        </w:rPr>
        <w:t>(Resaltado fuera del texto)</w:t>
      </w:r>
    </w:p>
    <w:p w14:paraId="08CE0D05" w14:textId="01378A69" w:rsidR="00FB687C" w:rsidRPr="004625EF" w:rsidRDefault="00FB687C"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Se desprende de la norma legal y del concepto anterior que, para efectos de la exención tributaria</w:t>
      </w:r>
      <w:r w:rsidR="00E57632" w:rsidRPr="004625EF">
        <w:rPr>
          <w:rFonts w:ascii="Arial" w:hAnsi="Arial" w:cs="Arial"/>
          <w:sz w:val="24"/>
          <w:szCs w:val="24"/>
          <w:lang w:eastAsia="es-CO"/>
        </w:rPr>
        <w:t xml:space="preserve"> </w:t>
      </w:r>
      <w:r w:rsidRPr="004625EF">
        <w:rPr>
          <w:rFonts w:ascii="Arial" w:hAnsi="Arial" w:cs="Arial"/>
          <w:sz w:val="24"/>
          <w:szCs w:val="24"/>
          <w:lang w:eastAsia="es-CO"/>
        </w:rPr>
        <w:t>esta se encuentra prevista para las operaciones que realicen las entidades ejecutoras del presupuesto nacional o territorial</w:t>
      </w:r>
      <w:r w:rsidR="00DC270C">
        <w:rPr>
          <w:rFonts w:ascii="Arial" w:hAnsi="Arial" w:cs="Arial"/>
          <w:sz w:val="24"/>
          <w:szCs w:val="24"/>
          <w:lang w:eastAsia="es-CO"/>
        </w:rPr>
        <w:t xml:space="preserve">, la cual va </w:t>
      </w:r>
      <w:r w:rsidR="00DC270C" w:rsidRPr="00DC270C">
        <w:rPr>
          <w:rFonts w:ascii="Arial" w:hAnsi="Arial" w:cs="Arial"/>
          <w:sz w:val="24"/>
          <w:szCs w:val="24"/>
          <w:lang w:eastAsia="es-CO"/>
        </w:rPr>
        <w:t>hasta la transferencia de los recursos del sistema por parte de las entidades ejecutoras, no a los contratistas o partes ejecutoras contractuales</w:t>
      </w:r>
      <w:r w:rsidR="00FD6FBD">
        <w:rPr>
          <w:rFonts w:ascii="Arial" w:hAnsi="Arial" w:cs="Arial"/>
          <w:sz w:val="24"/>
          <w:szCs w:val="24"/>
          <w:lang w:eastAsia="es-CO"/>
        </w:rPr>
        <w:t>.</w:t>
      </w:r>
    </w:p>
    <w:p w14:paraId="0BD13686" w14:textId="77777777" w:rsidR="00342F30" w:rsidRPr="0018634D" w:rsidRDefault="00342F30" w:rsidP="007101A1">
      <w:pPr>
        <w:spacing w:after="0" w:line="240" w:lineRule="auto"/>
        <w:ind w:right="-568"/>
        <w:jc w:val="both"/>
        <w:rPr>
          <w:rFonts w:ascii="Arial" w:hAnsi="Arial" w:cs="Arial"/>
          <w:sz w:val="24"/>
          <w:szCs w:val="24"/>
        </w:rPr>
      </w:pPr>
    </w:p>
    <w:p w14:paraId="44B97FA7" w14:textId="1A856DC7" w:rsidR="00342F30" w:rsidRPr="004625EF" w:rsidRDefault="00342F30" w:rsidP="007101A1">
      <w:pPr>
        <w:spacing w:after="0" w:line="240" w:lineRule="auto"/>
        <w:ind w:right="-568"/>
        <w:jc w:val="both"/>
        <w:rPr>
          <w:rFonts w:ascii="Arial" w:hAnsi="Arial" w:cs="Arial"/>
          <w:sz w:val="24"/>
          <w:szCs w:val="24"/>
          <w:lang w:eastAsia="es-CO"/>
        </w:rPr>
      </w:pPr>
      <w:r w:rsidRPr="0018634D">
        <w:rPr>
          <w:rFonts w:ascii="Arial" w:hAnsi="Arial" w:cs="Arial"/>
          <w:sz w:val="24"/>
          <w:szCs w:val="24"/>
        </w:rPr>
        <w:t xml:space="preserve">Precisa el </w:t>
      </w:r>
      <w:r w:rsidRPr="004625EF">
        <w:rPr>
          <w:rFonts w:ascii="Arial" w:hAnsi="Arial" w:cs="Arial"/>
          <w:sz w:val="24"/>
          <w:szCs w:val="24"/>
        </w:rPr>
        <w:t>Decreto 1625 de 2016 que se</w:t>
      </w:r>
      <w:r w:rsidRPr="004625EF">
        <w:rPr>
          <w:rFonts w:ascii="Arial" w:hAnsi="Arial" w:cs="Arial"/>
          <w:sz w:val="24"/>
          <w:szCs w:val="24"/>
          <w:lang w:eastAsia="es-CO"/>
        </w:rPr>
        <w:t xml:space="preserve"> entenderá como “manejo de recursos públicos” aquellas operaciones mediante las cuales se efectúa la ejecución del Presupuesto General Territorial en forma directa o a través de sus órganos ejecutores respectivos, </w:t>
      </w:r>
      <w:r w:rsidRPr="004625EF">
        <w:rPr>
          <w:rFonts w:ascii="Arial" w:hAnsi="Arial" w:cs="Arial"/>
          <w:sz w:val="24"/>
          <w:szCs w:val="24"/>
          <w:u w:val="single"/>
          <w:lang w:eastAsia="es-CO"/>
        </w:rPr>
        <w:t>salvo que se trate de recursos propios de los establecimientos públicos del orden territorial los cuales no están exentos de gravamen a los movimientos financieros</w:t>
      </w:r>
      <w:r w:rsidRPr="004625EF">
        <w:rPr>
          <w:rFonts w:ascii="Arial" w:hAnsi="Arial" w:cs="Arial"/>
          <w:sz w:val="24"/>
          <w:szCs w:val="24"/>
          <w:lang w:eastAsia="es-CO"/>
        </w:rPr>
        <w:t>.</w:t>
      </w:r>
    </w:p>
    <w:p w14:paraId="0C9E12E4" w14:textId="05765BD2" w:rsidR="00342F30" w:rsidRPr="0018634D" w:rsidRDefault="00342F30" w:rsidP="007101A1">
      <w:pPr>
        <w:spacing w:after="0" w:line="240" w:lineRule="auto"/>
        <w:ind w:right="-568"/>
        <w:jc w:val="both"/>
        <w:rPr>
          <w:rFonts w:ascii="Arial" w:hAnsi="Arial" w:cs="Arial"/>
          <w:sz w:val="24"/>
          <w:szCs w:val="24"/>
        </w:rPr>
      </w:pPr>
    </w:p>
    <w:p w14:paraId="3401B4BA" w14:textId="122DB702" w:rsidR="004B3A93" w:rsidRPr="004625EF" w:rsidRDefault="00342F30" w:rsidP="007101A1">
      <w:pPr>
        <w:shd w:val="clear" w:color="auto" w:fill="FFFFFF"/>
        <w:spacing w:after="0" w:line="240" w:lineRule="auto"/>
        <w:ind w:right="-568"/>
        <w:jc w:val="both"/>
        <w:rPr>
          <w:rFonts w:ascii="Arial" w:hAnsi="Arial" w:cs="Arial"/>
          <w:sz w:val="24"/>
          <w:szCs w:val="24"/>
        </w:rPr>
      </w:pPr>
      <w:r w:rsidRPr="007152E0">
        <w:rPr>
          <w:rFonts w:ascii="Arial" w:hAnsi="Arial" w:cs="Arial"/>
          <w:sz w:val="24"/>
          <w:szCs w:val="24"/>
        </w:rPr>
        <w:t>En este punto es importante precisar que se entiende por rentas propias.</w:t>
      </w:r>
      <w:r w:rsidR="00EB63E9" w:rsidRPr="007152E0">
        <w:rPr>
          <w:rFonts w:ascii="Arial" w:hAnsi="Arial" w:cs="Arial"/>
          <w:sz w:val="24"/>
          <w:szCs w:val="24"/>
        </w:rPr>
        <w:t xml:space="preserve">  Respecto al tema, el artículo 34 del Decreto 111 de 1996</w:t>
      </w:r>
      <w:r w:rsidR="00AF6E0A" w:rsidRPr="007152E0">
        <w:rPr>
          <w:rFonts w:ascii="Arial" w:hAnsi="Arial" w:cs="Arial"/>
          <w:sz w:val="24"/>
          <w:szCs w:val="24"/>
        </w:rPr>
        <w:t xml:space="preserve"> </w:t>
      </w:r>
      <w:r w:rsidR="00AF6E0A" w:rsidRPr="004625EF">
        <w:rPr>
          <w:rFonts w:ascii="Arial" w:hAnsi="Arial" w:cs="Arial"/>
          <w:sz w:val="24"/>
          <w:szCs w:val="24"/>
        </w:rPr>
        <w:t>"Por el cual se compilan la Ley </w:t>
      </w:r>
      <w:hyperlink r:id="rId15" w:anchor="0" w:history="1">
        <w:r w:rsidR="00AF6E0A" w:rsidRPr="004625EF">
          <w:rPr>
            <w:rFonts w:ascii="Arial" w:hAnsi="Arial" w:cs="Arial"/>
            <w:sz w:val="24"/>
            <w:szCs w:val="24"/>
          </w:rPr>
          <w:t>38</w:t>
        </w:r>
      </w:hyperlink>
      <w:r w:rsidR="00AF6E0A" w:rsidRPr="004625EF">
        <w:rPr>
          <w:rFonts w:ascii="Arial" w:hAnsi="Arial" w:cs="Arial"/>
          <w:sz w:val="24"/>
          <w:szCs w:val="24"/>
        </w:rPr>
        <w:t xml:space="preserve"> de </w:t>
      </w:r>
      <w:r w:rsidR="00AF6E0A" w:rsidRPr="004625EF">
        <w:rPr>
          <w:rFonts w:ascii="Arial" w:hAnsi="Arial" w:cs="Arial"/>
          <w:sz w:val="24"/>
          <w:szCs w:val="24"/>
        </w:rPr>
        <w:lastRenderedPageBreak/>
        <w:t>1989, la Ley </w:t>
      </w:r>
      <w:hyperlink r:id="rId16" w:anchor="0" w:history="1">
        <w:r w:rsidR="00AF6E0A" w:rsidRPr="004625EF">
          <w:rPr>
            <w:rFonts w:ascii="Arial" w:hAnsi="Arial" w:cs="Arial"/>
            <w:sz w:val="24"/>
            <w:szCs w:val="24"/>
          </w:rPr>
          <w:t>179</w:t>
        </w:r>
      </w:hyperlink>
      <w:r w:rsidR="00AF6E0A" w:rsidRPr="004625EF">
        <w:rPr>
          <w:rFonts w:ascii="Arial" w:hAnsi="Arial" w:cs="Arial"/>
          <w:sz w:val="24"/>
          <w:szCs w:val="24"/>
        </w:rPr>
        <w:t> de 1994 y la Ley </w:t>
      </w:r>
      <w:hyperlink r:id="rId17" w:anchor="0" w:history="1">
        <w:r w:rsidR="00AF6E0A" w:rsidRPr="004625EF">
          <w:rPr>
            <w:rFonts w:ascii="Arial" w:hAnsi="Arial" w:cs="Arial"/>
            <w:sz w:val="24"/>
            <w:szCs w:val="24"/>
          </w:rPr>
          <w:t>225</w:t>
        </w:r>
      </w:hyperlink>
      <w:r w:rsidR="00AF6E0A" w:rsidRPr="004625EF">
        <w:rPr>
          <w:rFonts w:ascii="Arial" w:hAnsi="Arial" w:cs="Arial"/>
          <w:sz w:val="24"/>
          <w:szCs w:val="24"/>
        </w:rPr>
        <w:t> de 1995 que conforman el estatuto orgánico del presupuesto"</w:t>
      </w:r>
      <w:r w:rsidR="004B3A93" w:rsidRPr="004625EF">
        <w:rPr>
          <w:rFonts w:ascii="Arial" w:hAnsi="Arial" w:cs="Arial"/>
          <w:sz w:val="24"/>
          <w:szCs w:val="24"/>
        </w:rPr>
        <w:t>, en su artículo 34 menciona lo siguiente:</w:t>
      </w:r>
    </w:p>
    <w:p w14:paraId="2031F688" w14:textId="77777777" w:rsidR="0024482C" w:rsidRPr="004625EF" w:rsidRDefault="0024482C" w:rsidP="007101A1">
      <w:pPr>
        <w:shd w:val="clear" w:color="auto" w:fill="FFFFFF"/>
        <w:spacing w:after="0" w:line="240" w:lineRule="auto"/>
        <w:ind w:right="-568"/>
        <w:rPr>
          <w:rFonts w:ascii="Helvetica" w:eastAsia="Times New Roman" w:hAnsi="Helvetica" w:cs="Times New Roman"/>
          <w:b/>
          <w:bCs/>
          <w:i/>
          <w:iCs/>
          <w:sz w:val="21"/>
          <w:szCs w:val="21"/>
          <w:lang w:val="es-CO" w:eastAsia="es-CO"/>
        </w:rPr>
      </w:pPr>
    </w:p>
    <w:p w14:paraId="1D509510" w14:textId="0FADF8E4" w:rsidR="00EB63E9" w:rsidRPr="004625EF" w:rsidRDefault="00EB63E9" w:rsidP="007101A1">
      <w:pPr>
        <w:shd w:val="clear" w:color="auto" w:fill="FFFFFF"/>
        <w:spacing w:after="0" w:line="240" w:lineRule="auto"/>
        <w:ind w:left="284" w:right="-568"/>
        <w:jc w:val="both"/>
        <w:rPr>
          <w:rFonts w:ascii="Arial" w:eastAsia="Times New Roman" w:hAnsi="Arial" w:cs="Arial"/>
          <w:lang w:val="es-CO" w:eastAsia="es-CO"/>
        </w:rPr>
      </w:pPr>
      <w:r w:rsidRPr="004625EF">
        <w:rPr>
          <w:rFonts w:ascii="Arial" w:eastAsia="Times New Roman" w:hAnsi="Arial" w:cs="Arial"/>
          <w:b/>
          <w:bCs/>
          <w:i/>
          <w:iCs/>
          <w:lang w:val="es-CO" w:eastAsia="es-CO"/>
        </w:rPr>
        <w:t>ARTÍCULO 34. INGRESOS DE LOS ESTABLECIMIENTOS PÚBLICOS</w:t>
      </w:r>
      <w:r w:rsidRPr="004625EF">
        <w:rPr>
          <w:rFonts w:ascii="Arial" w:eastAsia="Times New Roman" w:hAnsi="Arial" w:cs="Arial"/>
          <w:i/>
          <w:iCs/>
          <w:lang w:val="es-CO" w:eastAsia="es-CO"/>
        </w:rPr>
        <w:t>. En el Presupuesto de Rentas y Recursos de Capital se identificarán y clasificarán por separado las rentas y recursos de los establecimientos públicos. Para estos efectos entiéndase por:</w:t>
      </w:r>
    </w:p>
    <w:p w14:paraId="37735111" w14:textId="7034DD58" w:rsidR="00EB63E9" w:rsidRPr="004625EF" w:rsidRDefault="00EB63E9" w:rsidP="007101A1">
      <w:pPr>
        <w:shd w:val="clear" w:color="auto" w:fill="FFFFFF"/>
        <w:spacing w:after="0" w:line="240" w:lineRule="auto"/>
        <w:ind w:left="284" w:right="-568"/>
        <w:jc w:val="both"/>
        <w:rPr>
          <w:rFonts w:ascii="Arial" w:eastAsia="Times New Roman" w:hAnsi="Arial" w:cs="Arial"/>
          <w:lang w:val="es-CO" w:eastAsia="es-CO"/>
        </w:rPr>
      </w:pPr>
    </w:p>
    <w:p w14:paraId="5DF9D33D" w14:textId="77777777" w:rsidR="00EB63E9" w:rsidRPr="004625EF" w:rsidRDefault="00EB63E9" w:rsidP="007101A1">
      <w:pPr>
        <w:shd w:val="clear" w:color="auto" w:fill="FFFFFF"/>
        <w:spacing w:after="0" w:line="240" w:lineRule="auto"/>
        <w:ind w:left="284" w:right="-568"/>
        <w:jc w:val="both"/>
        <w:rPr>
          <w:rFonts w:ascii="Arial" w:eastAsia="Times New Roman" w:hAnsi="Arial" w:cs="Arial"/>
          <w:lang w:val="es-CO" w:eastAsia="es-CO"/>
        </w:rPr>
      </w:pPr>
      <w:r w:rsidRPr="004625EF">
        <w:rPr>
          <w:rFonts w:ascii="Arial" w:eastAsia="Times New Roman" w:hAnsi="Arial" w:cs="Arial"/>
          <w:i/>
          <w:iCs/>
          <w:u w:val="single"/>
          <w:lang w:val="es-CO" w:eastAsia="es-CO"/>
        </w:rPr>
        <w:t xml:space="preserve">a) Rentas propias. Todos los ingresos corrientes de los establecimientos públicos, excluidos </w:t>
      </w:r>
      <w:r w:rsidRPr="00FD6FBD">
        <w:rPr>
          <w:rFonts w:ascii="Arial" w:eastAsia="Times New Roman" w:hAnsi="Arial" w:cs="Arial"/>
          <w:b/>
          <w:bCs/>
          <w:i/>
          <w:iCs/>
          <w:u w:val="single"/>
          <w:lang w:val="es-CO" w:eastAsia="es-CO"/>
        </w:rPr>
        <w:t>los aportes</w:t>
      </w:r>
      <w:r w:rsidRPr="004625EF">
        <w:rPr>
          <w:rFonts w:ascii="Arial" w:eastAsia="Times New Roman" w:hAnsi="Arial" w:cs="Arial"/>
          <w:i/>
          <w:iCs/>
          <w:u w:val="single"/>
          <w:lang w:val="es-CO" w:eastAsia="es-CO"/>
        </w:rPr>
        <w:t xml:space="preserve"> </w:t>
      </w:r>
      <w:r w:rsidRPr="00FD6FBD">
        <w:rPr>
          <w:rFonts w:ascii="Arial" w:eastAsia="Times New Roman" w:hAnsi="Arial" w:cs="Arial"/>
          <w:b/>
          <w:bCs/>
          <w:i/>
          <w:iCs/>
          <w:u w:val="single"/>
          <w:lang w:val="es-CO" w:eastAsia="es-CO"/>
        </w:rPr>
        <w:t>y transferencias de la Nación</w:t>
      </w:r>
      <w:r w:rsidRPr="004625EF">
        <w:rPr>
          <w:rFonts w:ascii="Arial" w:eastAsia="Times New Roman" w:hAnsi="Arial" w:cs="Arial"/>
          <w:i/>
          <w:iCs/>
          <w:lang w:val="es-CO" w:eastAsia="es-CO"/>
        </w:rPr>
        <w:t>.</w:t>
      </w:r>
    </w:p>
    <w:p w14:paraId="7DDFC4FF" w14:textId="282AB853" w:rsidR="0024482C" w:rsidRPr="004625EF" w:rsidRDefault="0024482C" w:rsidP="007101A1">
      <w:pPr>
        <w:shd w:val="clear" w:color="auto" w:fill="FFFFFF"/>
        <w:spacing w:after="0" w:line="240" w:lineRule="auto"/>
        <w:ind w:left="284" w:right="-568"/>
        <w:jc w:val="both"/>
        <w:rPr>
          <w:rFonts w:ascii="Arial" w:eastAsia="Times New Roman" w:hAnsi="Arial" w:cs="Arial"/>
          <w:i/>
          <w:iCs/>
          <w:lang w:val="es-CO" w:eastAsia="es-CO"/>
        </w:rPr>
      </w:pPr>
      <w:r w:rsidRPr="004625EF">
        <w:rPr>
          <w:rFonts w:ascii="Arial" w:eastAsia="Times New Roman" w:hAnsi="Arial" w:cs="Arial"/>
          <w:i/>
          <w:iCs/>
          <w:lang w:val="es-CO" w:eastAsia="es-CO"/>
        </w:rPr>
        <w:t>[…]</w:t>
      </w:r>
      <w:r w:rsidR="00FD6FBD">
        <w:rPr>
          <w:rFonts w:ascii="Arial" w:eastAsia="Times New Roman" w:hAnsi="Arial" w:cs="Arial"/>
          <w:i/>
          <w:iCs/>
          <w:lang w:val="es-CO" w:eastAsia="es-CO"/>
        </w:rPr>
        <w:t xml:space="preserve"> </w:t>
      </w:r>
      <w:r w:rsidR="00FD6FBD" w:rsidRPr="0018634D">
        <w:rPr>
          <w:rFonts w:ascii="Arial" w:hAnsi="Arial" w:cs="Arial"/>
          <w:i/>
        </w:rPr>
        <w:t>(Resaltado fuera del texto)</w:t>
      </w:r>
    </w:p>
    <w:p w14:paraId="5E946CAF" w14:textId="2882140C" w:rsidR="00EB63E9" w:rsidRPr="004625EF" w:rsidRDefault="00EB63E9" w:rsidP="007101A1">
      <w:pPr>
        <w:shd w:val="clear" w:color="auto" w:fill="FFFFFF"/>
        <w:spacing w:after="0" w:line="240" w:lineRule="auto"/>
        <w:ind w:left="284" w:right="-568"/>
        <w:jc w:val="both"/>
        <w:rPr>
          <w:rFonts w:ascii="Arial" w:eastAsia="Times New Roman" w:hAnsi="Arial" w:cs="Arial"/>
          <w:lang w:val="es-CO" w:eastAsia="es-CO"/>
        </w:rPr>
      </w:pPr>
    </w:p>
    <w:p w14:paraId="05D21154" w14:textId="2982A436" w:rsidR="00AA515A" w:rsidRPr="004625EF" w:rsidRDefault="00AA515A" w:rsidP="007101A1">
      <w:pPr>
        <w:shd w:val="clear" w:color="auto" w:fill="FFFFFF"/>
        <w:spacing w:after="0" w:line="240" w:lineRule="auto"/>
        <w:ind w:right="-568"/>
        <w:jc w:val="both"/>
        <w:rPr>
          <w:rFonts w:ascii="Arial" w:eastAsia="Times New Roman" w:hAnsi="Arial" w:cs="Arial"/>
          <w:sz w:val="24"/>
          <w:szCs w:val="24"/>
          <w:lang w:val="es-CO" w:eastAsia="es-CO"/>
        </w:rPr>
      </w:pPr>
      <w:r w:rsidRPr="004625EF">
        <w:rPr>
          <w:rFonts w:ascii="Arial" w:eastAsia="Times New Roman" w:hAnsi="Arial" w:cs="Arial"/>
          <w:sz w:val="24"/>
          <w:szCs w:val="24"/>
          <w:lang w:val="es-CO" w:eastAsia="es-CO"/>
        </w:rPr>
        <w:t>Se observa de la norma citada que las rentas propias serán todos los ingresos corrientes de los establecimientos públicos excluidos los aportes y transferencias de la Nación.</w:t>
      </w:r>
    </w:p>
    <w:p w14:paraId="42B18A92" w14:textId="77777777" w:rsidR="00AA515A" w:rsidRPr="004625EF" w:rsidRDefault="00AA515A" w:rsidP="007101A1">
      <w:pPr>
        <w:shd w:val="clear" w:color="auto" w:fill="FFFFFF"/>
        <w:spacing w:after="0" w:line="240" w:lineRule="auto"/>
        <w:ind w:right="-568"/>
        <w:jc w:val="both"/>
        <w:rPr>
          <w:rFonts w:ascii="Arial" w:eastAsia="Times New Roman" w:hAnsi="Arial" w:cs="Arial"/>
          <w:sz w:val="24"/>
          <w:szCs w:val="24"/>
          <w:lang w:val="es-CO" w:eastAsia="es-CO"/>
        </w:rPr>
      </w:pPr>
    </w:p>
    <w:p w14:paraId="6B13FD0B" w14:textId="4AC591C5" w:rsidR="007024FF" w:rsidRPr="004625EF" w:rsidRDefault="00AA515A" w:rsidP="007101A1">
      <w:pPr>
        <w:shd w:val="clear" w:color="auto" w:fill="FFFFFF"/>
        <w:spacing w:after="0" w:line="240" w:lineRule="auto"/>
        <w:ind w:right="-568"/>
        <w:jc w:val="both"/>
        <w:rPr>
          <w:rFonts w:ascii="Arial" w:hAnsi="Arial" w:cs="Arial"/>
          <w:sz w:val="21"/>
          <w:szCs w:val="21"/>
          <w:shd w:val="clear" w:color="auto" w:fill="FFFFFF"/>
        </w:rPr>
      </w:pPr>
      <w:r w:rsidRPr="004625EF">
        <w:rPr>
          <w:rFonts w:ascii="Arial" w:eastAsia="Times New Roman" w:hAnsi="Arial" w:cs="Arial"/>
          <w:sz w:val="24"/>
          <w:szCs w:val="24"/>
          <w:lang w:val="es-CO" w:eastAsia="es-CO"/>
        </w:rPr>
        <w:t xml:space="preserve">El entendimiento anterior fue replicado en el </w:t>
      </w:r>
      <w:r w:rsidR="00342F30" w:rsidRPr="004625EF">
        <w:rPr>
          <w:rFonts w:ascii="Arial" w:hAnsi="Arial" w:cs="Arial"/>
          <w:sz w:val="24"/>
          <w:szCs w:val="24"/>
          <w:lang w:eastAsia="es-CO"/>
        </w:rPr>
        <w:t>Decreto 714 de 1996</w:t>
      </w:r>
      <w:r w:rsidR="00FD6FBD">
        <w:rPr>
          <w:rFonts w:ascii="Arial" w:hAnsi="Arial" w:cs="Arial"/>
          <w:sz w:val="24"/>
          <w:szCs w:val="24"/>
          <w:lang w:eastAsia="es-CO"/>
        </w:rPr>
        <w:t>,</w:t>
      </w:r>
      <w:r w:rsidR="00342F30" w:rsidRPr="004625EF">
        <w:rPr>
          <w:rFonts w:ascii="Arial" w:hAnsi="Arial" w:cs="Arial"/>
          <w:sz w:val="24"/>
          <w:szCs w:val="24"/>
          <w:lang w:eastAsia="es-CO"/>
        </w:rPr>
        <w:t xml:space="preserve"> “Por el cual se compilan el Acuerdo 24 de 1995 y Acuerdo 20 de 1996 que conforman el Estatuto Orgánico del Presupuesto Distrital”, </w:t>
      </w:r>
      <w:r w:rsidRPr="004625EF">
        <w:rPr>
          <w:rFonts w:ascii="Arial" w:hAnsi="Arial" w:cs="Arial"/>
          <w:sz w:val="24"/>
          <w:szCs w:val="24"/>
          <w:lang w:eastAsia="es-CO"/>
        </w:rPr>
        <w:t>al indicar en su artículo 16 lo siguiente:</w:t>
      </w:r>
    </w:p>
    <w:p w14:paraId="2D4CFDD6" w14:textId="689732B5" w:rsidR="00342F30" w:rsidRPr="0018634D" w:rsidRDefault="00342F30" w:rsidP="007101A1">
      <w:pPr>
        <w:spacing w:after="0" w:line="240" w:lineRule="auto"/>
        <w:ind w:right="-568"/>
        <w:jc w:val="both"/>
        <w:rPr>
          <w:rFonts w:ascii="Arial" w:hAnsi="Arial" w:cs="Arial"/>
          <w:i/>
          <w:lang w:eastAsia="es-CO"/>
        </w:rPr>
      </w:pPr>
    </w:p>
    <w:p w14:paraId="2D09D68A" w14:textId="77777777" w:rsidR="007024FF" w:rsidRPr="004625EF" w:rsidRDefault="007024FF" w:rsidP="007101A1">
      <w:pPr>
        <w:pStyle w:val="NormalWeb"/>
        <w:spacing w:before="0" w:beforeAutospacing="0" w:after="0" w:afterAutospacing="0"/>
        <w:ind w:left="284" w:right="-568"/>
        <w:jc w:val="both"/>
        <w:rPr>
          <w:rFonts w:ascii="Arial" w:hAnsi="Arial" w:cs="Arial"/>
          <w:sz w:val="22"/>
          <w:szCs w:val="22"/>
          <w:shd w:val="clear" w:color="auto" w:fill="FFFFFF"/>
        </w:rPr>
      </w:pPr>
      <w:r w:rsidRPr="004625EF">
        <w:rPr>
          <w:rFonts w:ascii="Arial" w:hAnsi="Arial" w:cs="Arial"/>
          <w:b/>
          <w:bCs/>
          <w:sz w:val="22"/>
          <w:szCs w:val="22"/>
          <w:shd w:val="clear" w:color="auto" w:fill="FFFFFF"/>
        </w:rPr>
        <w:t>ARTÍCULO</w:t>
      </w:r>
      <w:r w:rsidRPr="004625EF">
        <w:rPr>
          <w:rFonts w:ascii="Arial" w:hAnsi="Arial" w:cs="Arial"/>
          <w:sz w:val="22"/>
          <w:szCs w:val="22"/>
          <w:shd w:val="clear" w:color="auto" w:fill="FFFFFF"/>
        </w:rPr>
        <w:t> </w:t>
      </w:r>
      <w:r w:rsidRPr="004625EF">
        <w:rPr>
          <w:rFonts w:ascii="Arial" w:hAnsi="Arial" w:cs="Arial"/>
          <w:b/>
          <w:bCs/>
          <w:sz w:val="22"/>
          <w:szCs w:val="22"/>
          <w:shd w:val="clear" w:color="auto" w:fill="FFFFFF"/>
        </w:rPr>
        <w:t>16º.</w:t>
      </w:r>
      <w:r w:rsidRPr="004625EF">
        <w:rPr>
          <w:rFonts w:ascii="Arial" w:hAnsi="Arial" w:cs="Arial"/>
          <w:sz w:val="22"/>
          <w:szCs w:val="22"/>
          <w:shd w:val="clear" w:color="auto" w:fill="FFFFFF"/>
        </w:rPr>
        <w:t> </w:t>
      </w:r>
      <w:r w:rsidRPr="004625EF">
        <w:rPr>
          <w:rFonts w:ascii="Arial" w:hAnsi="Arial" w:cs="Arial"/>
          <w:b/>
          <w:bCs/>
          <w:i/>
          <w:iCs/>
          <w:sz w:val="22"/>
          <w:szCs w:val="22"/>
          <w:shd w:val="clear" w:color="auto" w:fill="FFFFFF"/>
        </w:rPr>
        <w:t>De los Ingresos de los Establecimientos Públicos</w:t>
      </w:r>
      <w:r w:rsidRPr="004625EF">
        <w:rPr>
          <w:rFonts w:ascii="Arial" w:hAnsi="Arial" w:cs="Arial"/>
          <w:sz w:val="22"/>
          <w:szCs w:val="22"/>
          <w:shd w:val="clear" w:color="auto" w:fill="FFFFFF"/>
        </w:rPr>
        <w:t>. En el Presupuesto de Ingresos se identificarán y clasificarán por separado las rentas y recursos de los Establecimientos Públicos. Para estos efectos entiéndase por:</w:t>
      </w:r>
    </w:p>
    <w:p w14:paraId="02968D8D" w14:textId="77777777" w:rsidR="00AA515A" w:rsidRPr="004625EF" w:rsidRDefault="00AA515A" w:rsidP="007101A1">
      <w:pPr>
        <w:pStyle w:val="NormalWeb"/>
        <w:spacing w:before="0" w:beforeAutospacing="0" w:after="0" w:afterAutospacing="0"/>
        <w:ind w:left="284" w:right="-568"/>
        <w:jc w:val="both"/>
        <w:rPr>
          <w:rFonts w:ascii="Arial" w:hAnsi="Arial" w:cs="Arial"/>
          <w:sz w:val="22"/>
          <w:szCs w:val="22"/>
          <w:shd w:val="clear" w:color="auto" w:fill="FFFFFF"/>
        </w:rPr>
      </w:pPr>
    </w:p>
    <w:p w14:paraId="6D7843F3" w14:textId="0FAEFE0B" w:rsidR="007024FF" w:rsidRPr="004625EF" w:rsidRDefault="007024FF" w:rsidP="007101A1">
      <w:pPr>
        <w:pStyle w:val="NormalWeb"/>
        <w:spacing w:before="0" w:beforeAutospacing="0" w:after="0" w:afterAutospacing="0"/>
        <w:ind w:left="284" w:right="-568"/>
        <w:jc w:val="both"/>
        <w:rPr>
          <w:rFonts w:ascii="Arial" w:hAnsi="Arial" w:cs="Arial"/>
          <w:sz w:val="22"/>
          <w:szCs w:val="22"/>
          <w:shd w:val="clear" w:color="auto" w:fill="FFFFFF"/>
        </w:rPr>
      </w:pPr>
      <w:r w:rsidRPr="004625EF">
        <w:rPr>
          <w:rFonts w:ascii="Arial" w:hAnsi="Arial" w:cs="Arial"/>
          <w:sz w:val="22"/>
          <w:szCs w:val="22"/>
          <w:shd w:val="clear" w:color="auto" w:fill="FFFFFF"/>
        </w:rPr>
        <w:t>a) </w:t>
      </w:r>
      <w:r w:rsidRPr="004625EF">
        <w:rPr>
          <w:rFonts w:ascii="Arial" w:hAnsi="Arial" w:cs="Arial"/>
          <w:b/>
          <w:bCs/>
          <w:sz w:val="22"/>
          <w:szCs w:val="22"/>
          <w:shd w:val="clear" w:color="auto" w:fill="FFFFFF"/>
        </w:rPr>
        <w:t>Rentas Propias</w:t>
      </w:r>
      <w:r w:rsidRPr="004625EF">
        <w:rPr>
          <w:rFonts w:ascii="Arial" w:hAnsi="Arial" w:cs="Arial"/>
          <w:sz w:val="22"/>
          <w:szCs w:val="22"/>
          <w:shd w:val="clear" w:color="auto" w:fill="FFFFFF"/>
        </w:rPr>
        <w:t xml:space="preserve">. Todos los ingresos de los Establecimientos Públicos Distritales, </w:t>
      </w:r>
      <w:r w:rsidRPr="00FD6FBD">
        <w:rPr>
          <w:rFonts w:ascii="Arial" w:hAnsi="Arial" w:cs="Arial"/>
          <w:b/>
          <w:bCs/>
          <w:sz w:val="22"/>
          <w:szCs w:val="22"/>
          <w:u w:val="single"/>
          <w:shd w:val="clear" w:color="auto" w:fill="FFFFFF"/>
        </w:rPr>
        <w:t>excluidas</w:t>
      </w:r>
      <w:r w:rsidRPr="00FD6FBD">
        <w:rPr>
          <w:rFonts w:ascii="Arial" w:hAnsi="Arial" w:cs="Arial"/>
          <w:b/>
          <w:bCs/>
          <w:i/>
          <w:iCs/>
          <w:sz w:val="22"/>
          <w:szCs w:val="22"/>
          <w:u w:val="single"/>
          <w:shd w:val="clear" w:color="auto" w:fill="FFFFFF"/>
        </w:rPr>
        <w:t> </w:t>
      </w:r>
      <w:r w:rsidRPr="00FD6FBD">
        <w:rPr>
          <w:rFonts w:ascii="Arial" w:hAnsi="Arial" w:cs="Arial"/>
          <w:b/>
          <w:bCs/>
          <w:sz w:val="22"/>
          <w:szCs w:val="22"/>
          <w:u w:val="single"/>
          <w:shd w:val="clear" w:color="auto" w:fill="FFFFFF"/>
        </w:rPr>
        <w:t>las transferencias de</w:t>
      </w:r>
      <w:r w:rsidRPr="00FD6FBD">
        <w:rPr>
          <w:rFonts w:ascii="Arial" w:hAnsi="Arial" w:cs="Arial"/>
          <w:b/>
          <w:bCs/>
          <w:i/>
          <w:iCs/>
          <w:sz w:val="22"/>
          <w:szCs w:val="22"/>
          <w:u w:val="single"/>
          <w:shd w:val="clear" w:color="auto" w:fill="FFFFFF"/>
        </w:rPr>
        <w:t> </w:t>
      </w:r>
      <w:r w:rsidRPr="00FD6FBD">
        <w:rPr>
          <w:rFonts w:ascii="Arial" w:hAnsi="Arial" w:cs="Arial"/>
          <w:b/>
          <w:bCs/>
          <w:sz w:val="22"/>
          <w:szCs w:val="22"/>
          <w:u w:val="single"/>
          <w:shd w:val="clear" w:color="auto" w:fill="FFFFFF"/>
        </w:rPr>
        <w:t>la Administración Central Distrital</w:t>
      </w:r>
      <w:r w:rsidRPr="004625EF">
        <w:rPr>
          <w:rFonts w:ascii="Arial" w:hAnsi="Arial" w:cs="Arial"/>
          <w:sz w:val="22"/>
          <w:szCs w:val="22"/>
          <w:shd w:val="clear" w:color="auto" w:fill="FFFFFF"/>
        </w:rPr>
        <w:t>.</w:t>
      </w:r>
      <w:r w:rsidR="00FD6FBD">
        <w:rPr>
          <w:rFonts w:ascii="Arial" w:hAnsi="Arial" w:cs="Arial"/>
          <w:sz w:val="22"/>
          <w:szCs w:val="22"/>
          <w:shd w:val="clear" w:color="auto" w:fill="FFFFFF"/>
        </w:rPr>
        <w:t xml:space="preserve"> </w:t>
      </w:r>
      <w:r w:rsidR="00FD6FBD" w:rsidRPr="0018634D">
        <w:rPr>
          <w:rFonts w:ascii="Arial" w:hAnsi="Arial" w:cs="Arial"/>
          <w:i/>
        </w:rPr>
        <w:t>(Resaltado fuera del texto)</w:t>
      </w:r>
    </w:p>
    <w:p w14:paraId="166DE98A" w14:textId="77777777" w:rsidR="00AA515A" w:rsidRPr="004625EF" w:rsidRDefault="00AA515A" w:rsidP="007101A1">
      <w:pPr>
        <w:pStyle w:val="NormalWeb"/>
        <w:shd w:val="clear" w:color="auto" w:fill="FFFFFF"/>
        <w:spacing w:before="0" w:beforeAutospacing="0" w:after="0" w:afterAutospacing="0"/>
        <w:ind w:right="-568"/>
        <w:jc w:val="both"/>
        <w:rPr>
          <w:rFonts w:ascii="Arial" w:hAnsi="Arial" w:cs="Arial"/>
          <w:sz w:val="22"/>
          <w:szCs w:val="22"/>
        </w:rPr>
      </w:pPr>
    </w:p>
    <w:p w14:paraId="0B812D30" w14:textId="2DF7AE0F" w:rsidR="007024FF" w:rsidRDefault="0018634D" w:rsidP="007101A1">
      <w:pPr>
        <w:spacing w:after="0" w:line="240" w:lineRule="auto"/>
        <w:ind w:right="-568"/>
        <w:jc w:val="both"/>
        <w:rPr>
          <w:rFonts w:ascii="Arial" w:hAnsi="Arial" w:cs="Arial"/>
          <w:iCs/>
          <w:sz w:val="24"/>
          <w:szCs w:val="24"/>
          <w:lang w:eastAsia="es-CO"/>
        </w:rPr>
      </w:pPr>
      <w:r w:rsidRPr="004625EF">
        <w:rPr>
          <w:rFonts w:ascii="Arial" w:hAnsi="Arial" w:cs="Arial"/>
          <w:iCs/>
          <w:sz w:val="24"/>
          <w:szCs w:val="24"/>
          <w:lang w:eastAsia="es-CO"/>
        </w:rPr>
        <w:t>Como se desprende de las normas citadas, se encuentran excluidas de los recursos propios</w:t>
      </w:r>
      <w:r>
        <w:rPr>
          <w:rFonts w:ascii="Arial" w:hAnsi="Arial" w:cs="Arial"/>
          <w:iCs/>
          <w:sz w:val="24"/>
          <w:szCs w:val="24"/>
          <w:lang w:eastAsia="es-CO"/>
        </w:rPr>
        <w:t>, l</w:t>
      </w:r>
      <w:r w:rsidRPr="004625EF">
        <w:rPr>
          <w:rFonts w:ascii="Arial" w:hAnsi="Arial" w:cs="Arial"/>
          <w:iCs/>
          <w:sz w:val="24"/>
          <w:szCs w:val="24"/>
          <w:lang w:eastAsia="es-CO"/>
        </w:rPr>
        <w:t xml:space="preserve">as transferencias de la Nación </w:t>
      </w:r>
      <w:r>
        <w:rPr>
          <w:rFonts w:ascii="Arial" w:hAnsi="Arial" w:cs="Arial"/>
          <w:iCs/>
          <w:sz w:val="24"/>
          <w:szCs w:val="24"/>
          <w:lang w:eastAsia="es-CO"/>
        </w:rPr>
        <w:t>o de la Administración Central Distrital.</w:t>
      </w:r>
    </w:p>
    <w:p w14:paraId="11DD43E7" w14:textId="0B30EC88" w:rsidR="0018634D" w:rsidRDefault="0018634D" w:rsidP="007101A1">
      <w:pPr>
        <w:spacing w:after="0" w:line="240" w:lineRule="auto"/>
        <w:ind w:right="-568"/>
        <w:jc w:val="both"/>
        <w:rPr>
          <w:rFonts w:ascii="Arial" w:hAnsi="Arial" w:cs="Arial"/>
          <w:iCs/>
          <w:sz w:val="24"/>
          <w:szCs w:val="24"/>
          <w:lang w:eastAsia="es-CO"/>
        </w:rPr>
      </w:pPr>
    </w:p>
    <w:p w14:paraId="3428AB47" w14:textId="77777777" w:rsidR="00AC70BE" w:rsidRDefault="00520E9A" w:rsidP="007101A1">
      <w:pPr>
        <w:spacing w:after="0" w:line="240" w:lineRule="auto"/>
        <w:ind w:right="-568"/>
        <w:jc w:val="both"/>
        <w:rPr>
          <w:rFonts w:ascii="Arial" w:hAnsi="Arial" w:cs="Arial"/>
          <w:sz w:val="24"/>
          <w:szCs w:val="24"/>
        </w:rPr>
      </w:pPr>
      <w:r w:rsidRPr="006332D9">
        <w:rPr>
          <w:rFonts w:ascii="Arial" w:hAnsi="Arial" w:cs="Arial"/>
          <w:sz w:val="24"/>
          <w:szCs w:val="24"/>
        </w:rPr>
        <w:t>La anterior, se encuentra a tono con lo mencionado en el Concepto 31180 del 12 de agosto de 2015, emitido por el Ministerio de Hacienda y Crédito Público, en el que se dispuso:</w:t>
      </w:r>
    </w:p>
    <w:p w14:paraId="511242FC" w14:textId="77777777" w:rsidR="00AC70BE" w:rsidRDefault="00AC70BE" w:rsidP="007101A1">
      <w:pPr>
        <w:spacing w:after="0" w:line="240" w:lineRule="auto"/>
        <w:ind w:right="-568"/>
        <w:jc w:val="both"/>
        <w:rPr>
          <w:rFonts w:ascii="Arial" w:hAnsi="Arial" w:cs="Arial"/>
          <w:sz w:val="24"/>
          <w:szCs w:val="24"/>
        </w:rPr>
      </w:pPr>
    </w:p>
    <w:p w14:paraId="4F694FEF" w14:textId="2E828A03" w:rsidR="00AC70BE" w:rsidRPr="00406833" w:rsidRDefault="006332D9"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w:t>
      </w:r>
      <w:r w:rsidR="00AC70BE" w:rsidRPr="00406833">
        <w:rPr>
          <w:rFonts w:ascii="Arial" w:eastAsia="Times New Roman" w:hAnsi="Arial" w:cs="Arial"/>
          <w:i/>
          <w:iCs/>
          <w:lang w:val="es-CO" w:eastAsia="es-CO"/>
        </w:rPr>
        <w:t>Así las cosas, estarán exentas del GMF las operaciones mediante las cuales se efectúa la ejecución del Presupuesto General Territorial en forma directa o a través de sus órganos ejecutores respectivos, </w:t>
      </w:r>
      <w:r w:rsidR="00AC70BE" w:rsidRPr="00406833">
        <w:rPr>
          <w:rFonts w:ascii="Arial" w:eastAsia="Times New Roman" w:hAnsi="Arial" w:cs="Arial"/>
          <w:i/>
          <w:iCs/>
          <w:u w:val="single"/>
          <w:lang w:val="es-CO" w:eastAsia="es-CO"/>
        </w:rPr>
        <w:t>salvo que se trate de recursos propios de los establecimientos públicos del orden territorial los cuales no están exentos</w:t>
      </w:r>
      <w:r w:rsidR="00AC70BE" w:rsidRPr="00406833">
        <w:rPr>
          <w:rFonts w:ascii="Arial" w:eastAsia="Times New Roman" w:hAnsi="Arial" w:cs="Arial"/>
          <w:i/>
          <w:iCs/>
          <w:lang w:val="es-CO" w:eastAsia="es-CO"/>
        </w:rPr>
        <w:t>.</w:t>
      </w:r>
    </w:p>
    <w:p w14:paraId="162C54E6"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3DC1C390"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Para determinar si se trata de recursos propios de los establecimientos públicos del orden territorial será necesario remitirse a las normas de presupuesto de la entidad territorial, en concordancia con las normas generales de presupuesto.</w:t>
      </w:r>
    </w:p>
    <w:p w14:paraId="4D783424"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17753833"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Según el artículo 34 del Decreto 111 de 1996:</w:t>
      </w:r>
    </w:p>
    <w:p w14:paraId="06F9BE51"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3606EF56"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b/>
          <w:bCs/>
          <w:i/>
          <w:iCs/>
          <w:lang w:val="es-CO" w:eastAsia="es-CO"/>
        </w:rPr>
        <w:t>ARTÍCULO 34. INGRESOS DE LOS ESTABLECIMIENTOS PÚBLICOS</w:t>
      </w:r>
      <w:r w:rsidRPr="00406833">
        <w:rPr>
          <w:rFonts w:ascii="Arial" w:eastAsia="Times New Roman" w:hAnsi="Arial" w:cs="Arial"/>
          <w:i/>
          <w:iCs/>
          <w:lang w:val="es-CO" w:eastAsia="es-CO"/>
        </w:rPr>
        <w:t>. En el Presupuesto de Rentas y Recursos de Capital se identificarán y clasificarán por separado las rentas y recursos de los establecimientos públicos. Para estos efectos entiéndase por:</w:t>
      </w:r>
    </w:p>
    <w:p w14:paraId="43187BC7"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1D514A5A"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u w:val="single"/>
          <w:lang w:val="es-CO" w:eastAsia="es-CO"/>
        </w:rPr>
        <w:t xml:space="preserve">a) Rentas propias. </w:t>
      </w:r>
      <w:r w:rsidRPr="0051707D">
        <w:rPr>
          <w:rFonts w:ascii="Arial" w:eastAsia="Times New Roman" w:hAnsi="Arial" w:cs="Arial"/>
          <w:b/>
          <w:bCs/>
          <w:i/>
          <w:iCs/>
          <w:u w:val="single"/>
          <w:lang w:val="es-CO" w:eastAsia="es-CO"/>
        </w:rPr>
        <w:t>Todos los ingresos corrientes de los establecimientos públicos, excluidos los aportes y transferencias de la Nación</w:t>
      </w:r>
      <w:r w:rsidRPr="00406833">
        <w:rPr>
          <w:rFonts w:ascii="Arial" w:eastAsia="Times New Roman" w:hAnsi="Arial" w:cs="Arial"/>
          <w:i/>
          <w:iCs/>
          <w:lang w:val="es-CO" w:eastAsia="es-CO"/>
        </w:rPr>
        <w:t>.</w:t>
      </w:r>
    </w:p>
    <w:p w14:paraId="529E15FE"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lastRenderedPageBreak/>
        <w:t>b) Recursos de capital. Todos los recursos del crédito externo e interno con vencimiento mayor de un año, los recursos del balance, el diferencial cambiario, los rendimientos por operaciones financieras y las donaciones. (Ley 38/89, artículo 22, Ley 179/94, artículo 14).</w:t>
      </w:r>
    </w:p>
    <w:p w14:paraId="15BE8D10"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4A3665D8"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Por tanto, no son exentas del GMF las rentas propias de los establecimientos públicos municipales, entendidas como sus ingresos corrientes diferentes a los aportes y transferencias de la administración central municipal.</w:t>
      </w:r>
    </w:p>
    <w:p w14:paraId="23EDF0CD"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7A3BC06F"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DE5B41">
        <w:rPr>
          <w:rFonts w:ascii="Arial" w:eastAsia="Times New Roman" w:hAnsi="Arial" w:cs="Arial"/>
          <w:b/>
          <w:bCs/>
          <w:i/>
          <w:iCs/>
          <w:u w:val="single"/>
          <w:lang w:val="es-CO" w:eastAsia="es-CO"/>
        </w:rPr>
        <w:t>Así mismo, gozaría del beneficio de exención el traslado de impuestos de las entidades recaudadoras a las tesorerías de los entes territoriales o a las entidades que se designen para tal fin</w:t>
      </w:r>
      <w:r w:rsidRPr="00406833">
        <w:rPr>
          <w:rFonts w:ascii="Arial" w:eastAsia="Times New Roman" w:hAnsi="Arial" w:cs="Arial"/>
          <w:i/>
          <w:iCs/>
          <w:lang w:val="es-CO" w:eastAsia="es-CO"/>
        </w:rPr>
        <w:t>.</w:t>
      </w:r>
    </w:p>
    <w:p w14:paraId="61526BF7" w14:textId="77777777"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 </w:t>
      </w:r>
    </w:p>
    <w:p w14:paraId="3204D67F" w14:textId="1EE64E60" w:rsidR="00AC70BE" w:rsidRPr="00406833" w:rsidRDefault="00AC70BE" w:rsidP="007101A1">
      <w:pPr>
        <w:shd w:val="clear" w:color="auto" w:fill="FFFFFF"/>
        <w:spacing w:after="0" w:line="240" w:lineRule="auto"/>
        <w:ind w:left="284" w:right="-568"/>
        <w:jc w:val="both"/>
        <w:rPr>
          <w:rFonts w:ascii="Arial" w:eastAsia="Times New Roman" w:hAnsi="Arial" w:cs="Arial"/>
          <w:i/>
          <w:iCs/>
          <w:lang w:val="es-CO" w:eastAsia="es-CO"/>
        </w:rPr>
      </w:pPr>
      <w:r w:rsidRPr="00406833">
        <w:rPr>
          <w:rFonts w:ascii="Arial" w:eastAsia="Times New Roman" w:hAnsi="Arial" w:cs="Arial"/>
          <w:i/>
          <w:iCs/>
          <w:lang w:val="es-CO" w:eastAsia="es-CO"/>
        </w:rPr>
        <w:t>En el caso de su consulta, será necesario remitirse a la forma como se tiene estructurado en el municipio el recaudo del impuesto sobre el servicio de alumbrado público a fin de identificar las entidades recaudadoras y los traslados de impuestos a las tesorerías de los entes territoriales o a las entidades que se designen para tal fin.</w:t>
      </w:r>
      <w:r w:rsidR="006332D9" w:rsidRPr="00406833">
        <w:rPr>
          <w:rFonts w:ascii="Arial" w:eastAsia="Times New Roman" w:hAnsi="Arial" w:cs="Arial"/>
          <w:i/>
          <w:iCs/>
          <w:lang w:val="es-CO" w:eastAsia="es-CO"/>
        </w:rPr>
        <w:t>”</w:t>
      </w:r>
      <w:r w:rsidR="00DE5B41">
        <w:rPr>
          <w:rFonts w:ascii="Arial" w:eastAsia="Times New Roman" w:hAnsi="Arial" w:cs="Arial"/>
          <w:i/>
          <w:iCs/>
          <w:lang w:val="es-CO" w:eastAsia="es-CO"/>
        </w:rPr>
        <w:t xml:space="preserve"> </w:t>
      </w:r>
      <w:r w:rsidR="00DE5B41" w:rsidRPr="0018634D">
        <w:rPr>
          <w:rFonts w:ascii="Arial" w:hAnsi="Arial" w:cs="Arial"/>
          <w:i/>
        </w:rPr>
        <w:t>(Resaltado fuera del texto)</w:t>
      </w:r>
    </w:p>
    <w:p w14:paraId="54D7A62D" w14:textId="77777777" w:rsidR="006332D9" w:rsidRDefault="006332D9" w:rsidP="007101A1">
      <w:pPr>
        <w:spacing w:after="0" w:line="240" w:lineRule="auto"/>
        <w:ind w:right="-568"/>
        <w:jc w:val="both"/>
        <w:rPr>
          <w:rFonts w:ascii="Arial" w:hAnsi="Arial" w:cs="Arial"/>
          <w:iCs/>
          <w:sz w:val="24"/>
          <w:szCs w:val="24"/>
          <w:lang w:eastAsia="es-CO"/>
        </w:rPr>
      </w:pPr>
    </w:p>
    <w:p w14:paraId="0919D7A5" w14:textId="41ADC809" w:rsidR="0018634D" w:rsidRPr="004625EF" w:rsidRDefault="006332D9" w:rsidP="007101A1">
      <w:pPr>
        <w:spacing w:after="0" w:line="240" w:lineRule="auto"/>
        <w:ind w:right="-568"/>
        <w:jc w:val="both"/>
        <w:rPr>
          <w:rFonts w:ascii="Arial" w:hAnsi="Arial" w:cs="Arial"/>
          <w:iCs/>
          <w:sz w:val="24"/>
          <w:szCs w:val="24"/>
          <w:lang w:eastAsia="es-CO"/>
        </w:rPr>
      </w:pPr>
      <w:r>
        <w:rPr>
          <w:rFonts w:ascii="Arial" w:hAnsi="Arial" w:cs="Arial"/>
          <w:iCs/>
          <w:sz w:val="24"/>
          <w:szCs w:val="24"/>
          <w:lang w:eastAsia="es-CO"/>
        </w:rPr>
        <w:t>E</w:t>
      </w:r>
      <w:r w:rsidR="00673AC0">
        <w:rPr>
          <w:rFonts w:ascii="Arial" w:hAnsi="Arial" w:cs="Arial"/>
          <w:iCs/>
          <w:sz w:val="24"/>
          <w:szCs w:val="24"/>
          <w:lang w:eastAsia="es-CO"/>
        </w:rPr>
        <w:t>n el caso d</w:t>
      </w:r>
      <w:r w:rsidR="00B57BA9">
        <w:rPr>
          <w:rFonts w:ascii="Arial" w:hAnsi="Arial" w:cs="Arial"/>
          <w:iCs/>
          <w:sz w:val="24"/>
          <w:szCs w:val="24"/>
          <w:lang w:eastAsia="es-CO"/>
        </w:rPr>
        <w:t>e la Universidad Distrital Francisco José de Caldas</w:t>
      </w:r>
      <w:r w:rsidR="00B57BA9" w:rsidRPr="00406833">
        <w:rPr>
          <w:vertAlign w:val="superscript"/>
        </w:rPr>
        <w:footnoteReference w:id="7"/>
      </w:r>
      <w:r w:rsidR="00B57BA9" w:rsidRPr="004625EF">
        <w:rPr>
          <w:rFonts w:ascii="Arial" w:hAnsi="Arial" w:cs="Arial"/>
          <w:iCs/>
          <w:sz w:val="24"/>
          <w:szCs w:val="24"/>
          <w:vertAlign w:val="superscript"/>
          <w:lang w:eastAsia="es-CO"/>
        </w:rPr>
        <w:t>,</w:t>
      </w:r>
      <w:r w:rsidR="00B57BA9">
        <w:rPr>
          <w:rFonts w:ascii="Arial" w:hAnsi="Arial" w:cs="Arial"/>
          <w:iCs/>
          <w:sz w:val="24"/>
          <w:szCs w:val="24"/>
          <w:lang w:eastAsia="es-CO"/>
        </w:rPr>
        <w:t xml:space="preserve"> esta fue creada</w:t>
      </w:r>
      <w:r w:rsidR="00B57BA9" w:rsidRPr="004625EF">
        <w:rPr>
          <w:rFonts w:ascii="Arial" w:hAnsi="Arial" w:cs="Arial"/>
          <w:iCs/>
          <w:sz w:val="24"/>
          <w:szCs w:val="24"/>
          <w:lang w:eastAsia="es-CO"/>
        </w:rPr>
        <w:t xml:space="preserve"> como un ente universitario autónomo de carácter estatal del orden Distrital</w:t>
      </w:r>
      <w:r w:rsidR="00B57BA9">
        <w:rPr>
          <w:rFonts w:ascii="Arial" w:hAnsi="Arial" w:cs="Arial"/>
          <w:iCs/>
          <w:sz w:val="24"/>
          <w:szCs w:val="24"/>
          <w:lang w:eastAsia="es-CO"/>
        </w:rPr>
        <w:t xml:space="preserve">, la cual, desde el punto de vista </w:t>
      </w:r>
      <w:r w:rsidR="00CF7996">
        <w:rPr>
          <w:rFonts w:ascii="Arial" w:hAnsi="Arial" w:cs="Arial"/>
          <w:iCs/>
          <w:sz w:val="24"/>
          <w:szCs w:val="24"/>
          <w:lang w:eastAsia="es-CO"/>
        </w:rPr>
        <w:t>del</w:t>
      </w:r>
      <w:r w:rsidR="006F763D">
        <w:rPr>
          <w:rFonts w:ascii="Arial" w:hAnsi="Arial" w:cs="Arial"/>
          <w:iCs/>
          <w:sz w:val="24"/>
          <w:szCs w:val="24"/>
          <w:lang w:eastAsia="es-CO"/>
        </w:rPr>
        <w:t xml:space="preserve"> Estatuto Presupuestal</w:t>
      </w:r>
      <w:r w:rsidR="00CF7996">
        <w:rPr>
          <w:rFonts w:ascii="Arial" w:hAnsi="Arial" w:cs="Arial"/>
          <w:iCs/>
          <w:sz w:val="24"/>
          <w:szCs w:val="24"/>
          <w:lang w:eastAsia="es-CO"/>
        </w:rPr>
        <w:t xml:space="preserve"> está incluida dentro de los Establecimientos Públicos Distritales, tal y como lo dispone el artículo 2</w:t>
      </w:r>
      <w:r w:rsidR="00CF7996">
        <w:rPr>
          <w:rStyle w:val="Refdenotaalpie"/>
          <w:rFonts w:ascii="Arial" w:hAnsi="Arial" w:cs="Arial"/>
          <w:sz w:val="24"/>
          <w:szCs w:val="24"/>
        </w:rPr>
        <w:footnoteReference w:id="8"/>
      </w:r>
      <w:r w:rsidR="00CF7996">
        <w:rPr>
          <w:rFonts w:ascii="Arial" w:hAnsi="Arial" w:cs="Arial"/>
          <w:iCs/>
          <w:sz w:val="24"/>
          <w:szCs w:val="24"/>
          <w:lang w:eastAsia="es-CO"/>
        </w:rPr>
        <w:t xml:space="preserve"> del Decreto 714 de 1996.</w:t>
      </w:r>
      <w:r w:rsidR="00B57BA9" w:rsidRPr="004625EF">
        <w:rPr>
          <w:rFonts w:ascii="Arial" w:hAnsi="Arial" w:cs="Arial"/>
          <w:iCs/>
          <w:sz w:val="24"/>
          <w:szCs w:val="24"/>
          <w:lang w:eastAsia="es-CO"/>
        </w:rPr>
        <w:t xml:space="preserve"> </w:t>
      </w:r>
    </w:p>
    <w:p w14:paraId="6D0FCFB6" w14:textId="77777777" w:rsidR="0018634D" w:rsidRPr="004625EF" w:rsidRDefault="0018634D" w:rsidP="007101A1">
      <w:pPr>
        <w:spacing w:after="0" w:line="240" w:lineRule="auto"/>
        <w:ind w:left="284" w:right="-568"/>
        <w:jc w:val="both"/>
        <w:rPr>
          <w:rFonts w:ascii="Arial" w:hAnsi="Arial" w:cs="Arial"/>
          <w:iCs/>
          <w:sz w:val="24"/>
          <w:szCs w:val="24"/>
          <w:lang w:eastAsia="es-CO"/>
        </w:rPr>
      </w:pPr>
    </w:p>
    <w:p w14:paraId="229D4C06" w14:textId="56BC0BEE" w:rsidR="00BC5EB6" w:rsidRDefault="006F763D" w:rsidP="007101A1">
      <w:pPr>
        <w:spacing w:after="0" w:line="240" w:lineRule="auto"/>
        <w:ind w:right="-568"/>
        <w:jc w:val="both"/>
        <w:rPr>
          <w:rFonts w:ascii="Arial" w:hAnsi="Arial" w:cs="Arial"/>
          <w:sz w:val="24"/>
          <w:szCs w:val="24"/>
        </w:rPr>
      </w:pPr>
      <w:r>
        <w:rPr>
          <w:rFonts w:ascii="Arial" w:hAnsi="Arial" w:cs="Arial"/>
          <w:sz w:val="24"/>
          <w:szCs w:val="24"/>
        </w:rPr>
        <w:t>En tal sentido, en aplicación de las normas relativas a los ingresos de los establecimientos públicos</w:t>
      </w:r>
      <w:r w:rsidR="007F7E5C">
        <w:rPr>
          <w:rFonts w:ascii="Arial" w:hAnsi="Arial" w:cs="Arial"/>
          <w:sz w:val="24"/>
          <w:szCs w:val="24"/>
        </w:rPr>
        <w:t>,</w:t>
      </w:r>
      <w:r w:rsidR="008478E0">
        <w:rPr>
          <w:rFonts w:ascii="Arial" w:hAnsi="Arial" w:cs="Arial"/>
          <w:sz w:val="24"/>
          <w:szCs w:val="24"/>
        </w:rPr>
        <w:t xml:space="preserve"> los recursos del impuesto sobre la renta para la equidad CREE que transfiere e</w:t>
      </w:r>
      <w:r w:rsidR="008478E0" w:rsidRPr="008478E0">
        <w:rPr>
          <w:rFonts w:ascii="Arial" w:hAnsi="Arial" w:cs="Arial"/>
          <w:sz w:val="24"/>
          <w:szCs w:val="24"/>
        </w:rPr>
        <w:t>l Ministerio de Hacienda y Crédito Público directamente, o a través del Ministerio de Educación Nacional</w:t>
      </w:r>
      <w:r w:rsidR="008478E0">
        <w:rPr>
          <w:rFonts w:ascii="Arial" w:hAnsi="Arial" w:cs="Arial"/>
          <w:sz w:val="24"/>
          <w:szCs w:val="24"/>
        </w:rPr>
        <w:t xml:space="preserve"> a la Universidad </w:t>
      </w:r>
      <w:r w:rsidR="009D74AF">
        <w:rPr>
          <w:rFonts w:ascii="Arial" w:hAnsi="Arial" w:cs="Arial"/>
          <w:sz w:val="24"/>
          <w:szCs w:val="24"/>
        </w:rPr>
        <w:t>Distrital Francisco</w:t>
      </w:r>
      <w:r w:rsidR="007F7E5C">
        <w:rPr>
          <w:rFonts w:ascii="Arial" w:hAnsi="Arial" w:cs="Arial"/>
          <w:sz w:val="24"/>
          <w:szCs w:val="24"/>
        </w:rPr>
        <w:t xml:space="preserve"> José de </w:t>
      </w:r>
      <w:r w:rsidR="007F7E5C" w:rsidRPr="007101A1">
        <w:rPr>
          <w:rFonts w:ascii="Arial" w:hAnsi="Arial" w:cs="Arial"/>
          <w:sz w:val="24"/>
          <w:szCs w:val="24"/>
        </w:rPr>
        <w:t>Caldas no son rentas propias y por ello nos encontramos ante recursos públicos</w:t>
      </w:r>
      <w:r w:rsidR="00BA761F" w:rsidRPr="007101A1">
        <w:rPr>
          <w:rFonts w:ascii="Arial" w:hAnsi="Arial" w:cs="Arial"/>
          <w:sz w:val="24"/>
          <w:szCs w:val="24"/>
        </w:rPr>
        <w:t xml:space="preserve"> ejecutados </w:t>
      </w:r>
      <w:r w:rsidR="007F7E5C" w:rsidRPr="007101A1">
        <w:rPr>
          <w:rFonts w:ascii="Arial" w:hAnsi="Arial" w:cs="Arial"/>
          <w:sz w:val="24"/>
          <w:szCs w:val="24"/>
        </w:rPr>
        <w:t xml:space="preserve">a través </w:t>
      </w:r>
      <w:r w:rsidR="00027CA5" w:rsidRPr="007101A1">
        <w:rPr>
          <w:rFonts w:ascii="Arial" w:hAnsi="Arial" w:cs="Arial"/>
          <w:sz w:val="24"/>
          <w:szCs w:val="24"/>
        </w:rPr>
        <w:t>la mencionada institución.</w:t>
      </w:r>
    </w:p>
    <w:p w14:paraId="7D6D814C" w14:textId="2246EF59" w:rsidR="006903BD" w:rsidRDefault="006903BD" w:rsidP="007101A1">
      <w:pPr>
        <w:spacing w:after="0" w:line="240" w:lineRule="auto"/>
        <w:ind w:right="-568"/>
        <w:jc w:val="both"/>
        <w:rPr>
          <w:rFonts w:ascii="Arial" w:hAnsi="Arial" w:cs="Arial"/>
          <w:sz w:val="24"/>
          <w:szCs w:val="24"/>
        </w:rPr>
      </w:pPr>
    </w:p>
    <w:p w14:paraId="16590113" w14:textId="2C26C42C" w:rsidR="006903BD" w:rsidRDefault="006903BD" w:rsidP="007101A1">
      <w:pPr>
        <w:spacing w:after="0" w:line="240" w:lineRule="auto"/>
        <w:ind w:right="-568"/>
        <w:jc w:val="both"/>
        <w:rPr>
          <w:rFonts w:ascii="Arial" w:hAnsi="Arial" w:cs="Arial"/>
          <w:sz w:val="24"/>
          <w:szCs w:val="24"/>
        </w:rPr>
      </w:pPr>
      <w:r>
        <w:rPr>
          <w:rFonts w:ascii="Arial" w:hAnsi="Arial" w:cs="Arial"/>
          <w:sz w:val="24"/>
          <w:szCs w:val="24"/>
        </w:rPr>
        <w:t xml:space="preserve">Así las cosas, hay lugar a la marcación como exenta de </w:t>
      </w:r>
      <w:r w:rsidRPr="0018634D">
        <w:rPr>
          <w:rFonts w:ascii="Arial" w:hAnsi="Arial" w:cs="Arial"/>
          <w:sz w:val="24"/>
          <w:szCs w:val="24"/>
        </w:rPr>
        <w:t xml:space="preserve">la cuenta de </w:t>
      </w:r>
      <w:r w:rsidR="009D74AF" w:rsidRPr="0018634D">
        <w:rPr>
          <w:rFonts w:ascii="Arial" w:hAnsi="Arial" w:cs="Arial"/>
          <w:sz w:val="24"/>
          <w:szCs w:val="24"/>
        </w:rPr>
        <w:t>ahorros 220</w:t>
      </w:r>
      <w:r w:rsidRPr="0018634D">
        <w:rPr>
          <w:rFonts w:ascii="Arial" w:hAnsi="Arial" w:cs="Arial"/>
          <w:sz w:val="24"/>
          <w:szCs w:val="24"/>
        </w:rPr>
        <w:t>-048-02438-4 del Banco Popular de la Universidad Distrital</w:t>
      </w:r>
      <w:r>
        <w:rPr>
          <w:rFonts w:ascii="Arial" w:hAnsi="Arial" w:cs="Arial"/>
          <w:sz w:val="24"/>
          <w:szCs w:val="24"/>
        </w:rPr>
        <w:t xml:space="preserve"> en la cual </w:t>
      </w:r>
      <w:r w:rsidRPr="0018634D">
        <w:rPr>
          <w:rFonts w:ascii="Arial" w:hAnsi="Arial" w:cs="Arial"/>
          <w:sz w:val="24"/>
          <w:szCs w:val="24"/>
        </w:rPr>
        <w:t>se manejan exclusivamente los recursos CREE</w:t>
      </w:r>
      <w:r>
        <w:rPr>
          <w:rFonts w:ascii="Arial" w:hAnsi="Arial" w:cs="Arial"/>
          <w:sz w:val="24"/>
          <w:szCs w:val="24"/>
        </w:rPr>
        <w:t>.</w:t>
      </w:r>
    </w:p>
    <w:p w14:paraId="79CC98FE" w14:textId="77777777" w:rsidR="00406833" w:rsidRDefault="00406833" w:rsidP="007101A1">
      <w:pPr>
        <w:spacing w:after="0" w:line="240" w:lineRule="auto"/>
        <w:ind w:right="-568"/>
        <w:jc w:val="both"/>
        <w:rPr>
          <w:rFonts w:ascii="Arial" w:hAnsi="Arial" w:cs="Arial"/>
          <w:b/>
          <w:bCs/>
          <w:sz w:val="24"/>
          <w:szCs w:val="24"/>
        </w:rPr>
      </w:pPr>
    </w:p>
    <w:p w14:paraId="3EACEED4" w14:textId="137B3C7F" w:rsidR="00563ABE" w:rsidRPr="0018634D" w:rsidRDefault="00563ABE" w:rsidP="007101A1">
      <w:pPr>
        <w:spacing w:after="0" w:line="240" w:lineRule="auto"/>
        <w:ind w:right="-568"/>
        <w:jc w:val="both"/>
        <w:rPr>
          <w:rFonts w:ascii="Arial" w:hAnsi="Arial" w:cs="Arial"/>
          <w:b/>
          <w:bCs/>
          <w:sz w:val="24"/>
          <w:szCs w:val="24"/>
        </w:rPr>
      </w:pPr>
      <w:r w:rsidRPr="0018634D">
        <w:rPr>
          <w:rFonts w:ascii="Arial" w:hAnsi="Arial" w:cs="Arial"/>
          <w:b/>
          <w:bCs/>
          <w:sz w:val="24"/>
          <w:szCs w:val="24"/>
        </w:rPr>
        <w:t>CONCLUSIONES</w:t>
      </w:r>
    </w:p>
    <w:p w14:paraId="60F61DCD" w14:textId="5CE22EDE" w:rsidR="00563ABE" w:rsidRPr="0018634D" w:rsidRDefault="00563ABE" w:rsidP="007101A1">
      <w:pPr>
        <w:spacing w:after="0" w:line="240" w:lineRule="auto"/>
        <w:ind w:right="-568"/>
        <w:jc w:val="both"/>
        <w:rPr>
          <w:rFonts w:ascii="Arial" w:hAnsi="Arial" w:cs="Arial"/>
          <w:b/>
          <w:bCs/>
          <w:sz w:val="24"/>
          <w:szCs w:val="24"/>
        </w:rPr>
      </w:pPr>
    </w:p>
    <w:p w14:paraId="3ED0F24F" w14:textId="24CE0F3A" w:rsidR="00664FFC" w:rsidRPr="0018634D" w:rsidRDefault="00664FFC" w:rsidP="007101A1">
      <w:pPr>
        <w:spacing w:after="0" w:line="240" w:lineRule="auto"/>
        <w:ind w:right="-568"/>
        <w:jc w:val="both"/>
        <w:rPr>
          <w:rFonts w:ascii="Arial" w:hAnsi="Arial" w:cs="Arial"/>
          <w:sz w:val="24"/>
          <w:szCs w:val="24"/>
        </w:rPr>
      </w:pPr>
      <w:r w:rsidRPr="0018634D">
        <w:rPr>
          <w:rFonts w:ascii="Arial" w:hAnsi="Arial" w:cs="Arial"/>
          <w:sz w:val="24"/>
          <w:szCs w:val="24"/>
        </w:rPr>
        <w:t>¿</w:t>
      </w:r>
      <w:r>
        <w:rPr>
          <w:rFonts w:ascii="Arial" w:hAnsi="Arial" w:cs="Arial"/>
          <w:sz w:val="24"/>
          <w:szCs w:val="24"/>
        </w:rPr>
        <w:t>E</w:t>
      </w:r>
      <w:r w:rsidRPr="0018634D">
        <w:rPr>
          <w:rFonts w:ascii="Arial" w:hAnsi="Arial" w:cs="Arial"/>
          <w:sz w:val="24"/>
          <w:szCs w:val="24"/>
        </w:rPr>
        <w:t>s jurídicamente viable marcar como exenta de GMF la cuenta o cuenta(s) bancarias abiertas y destinadas por la Universidad Distrital Francisco José de Caldas, exclusivamente, para la recepción de los recursos del CREE, recibidos en cumplimiento del Decreto Nacional 1075 de 2015?”</w:t>
      </w:r>
    </w:p>
    <w:p w14:paraId="752E23D0" w14:textId="77777777" w:rsidR="00664FFC" w:rsidRDefault="00664FFC" w:rsidP="007101A1">
      <w:pPr>
        <w:spacing w:after="0" w:line="240" w:lineRule="auto"/>
        <w:ind w:right="-568"/>
        <w:jc w:val="both"/>
        <w:rPr>
          <w:rFonts w:ascii="Arial" w:hAnsi="Arial" w:cs="Arial"/>
          <w:sz w:val="24"/>
          <w:szCs w:val="24"/>
        </w:rPr>
      </w:pPr>
    </w:p>
    <w:p w14:paraId="38D6447F" w14:textId="1FBCD53B" w:rsidR="00E616D6" w:rsidRDefault="009A54E3" w:rsidP="007101A1">
      <w:pPr>
        <w:shd w:val="clear" w:color="auto" w:fill="FFFFFF"/>
        <w:spacing w:after="0" w:line="240" w:lineRule="auto"/>
        <w:ind w:right="-568"/>
        <w:jc w:val="both"/>
        <w:rPr>
          <w:rFonts w:ascii="Arial" w:hAnsi="Arial" w:cs="Arial"/>
          <w:sz w:val="24"/>
          <w:szCs w:val="24"/>
        </w:rPr>
      </w:pPr>
      <w:r>
        <w:rPr>
          <w:rFonts w:ascii="Arial" w:hAnsi="Arial" w:cs="Arial"/>
          <w:sz w:val="24"/>
          <w:szCs w:val="24"/>
        </w:rPr>
        <w:lastRenderedPageBreak/>
        <w:t>En la medida que “</w:t>
      </w:r>
      <w:r w:rsidRPr="00682651">
        <w:rPr>
          <w:rFonts w:ascii="Arial" w:hAnsi="Arial" w:cs="Arial"/>
          <w:b/>
          <w:bCs/>
          <w:i/>
          <w:u w:val="single"/>
          <w:lang w:eastAsia="es-CO"/>
        </w:rPr>
        <w:t>aquellas operaciones mediante las cuales se efectúa la ejecución del Presupuesto General Territorial en forma directa o a través de sus órganos ejecutores respectivos</w:t>
      </w:r>
      <w:r>
        <w:rPr>
          <w:rFonts w:ascii="Arial" w:hAnsi="Arial" w:cs="Arial"/>
          <w:sz w:val="24"/>
          <w:szCs w:val="24"/>
        </w:rPr>
        <w:t>, no están sujetos al pago del Gravamen a los Movimientos Financieros</w:t>
      </w:r>
      <w:r w:rsidR="00D36395">
        <w:rPr>
          <w:rFonts w:ascii="Arial" w:hAnsi="Arial" w:cs="Arial"/>
          <w:sz w:val="24"/>
          <w:szCs w:val="24"/>
        </w:rPr>
        <w:t>,</w:t>
      </w:r>
      <w:r w:rsidRPr="009A54E3">
        <w:rPr>
          <w:rFonts w:ascii="Arial" w:hAnsi="Arial" w:cs="Arial"/>
          <w:sz w:val="24"/>
          <w:szCs w:val="24"/>
        </w:rPr>
        <w:t xml:space="preserve"> </w:t>
      </w:r>
      <w:r w:rsidR="00D36395">
        <w:rPr>
          <w:rFonts w:ascii="Arial" w:hAnsi="Arial" w:cs="Arial"/>
          <w:sz w:val="24"/>
          <w:szCs w:val="24"/>
        </w:rPr>
        <w:t xml:space="preserve">se podría establecer que </w:t>
      </w:r>
      <w:r w:rsidR="00E616D6">
        <w:rPr>
          <w:rFonts w:ascii="Arial" w:hAnsi="Arial" w:cs="Arial"/>
          <w:sz w:val="24"/>
          <w:szCs w:val="24"/>
        </w:rPr>
        <w:t xml:space="preserve">la ejecución de </w:t>
      </w:r>
      <w:r w:rsidR="00D36395">
        <w:rPr>
          <w:rFonts w:ascii="Arial" w:hAnsi="Arial" w:cs="Arial"/>
          <w:sz w:val="24"/>
          <w:szCs w:val="24"/>
        </w:rPr>
        <w:t>las transferencias nacionales o del nivel central territorial</w:t>
      </w:r>
      <w:r w:rsidR="00E616D6">
        <w:rPr>
          <w:rFonts w:ascii="Arial" w:hAnsi="Arial" w:cs="Arial"/>
          <w:sz w:val="24"/>
          <w:szCs w:val="24"/>
        </w:rPr>
        <w:t xml:space="preserve"> a través de una entidad descentralizada</w:t>
      </w:r>
      <w:r w:rsidR="00D36395">
        <w:rPr>
          <w:rFonts w:ascii="Arial" w:hAnsi="Arial" w:cs="Arial"/>
          <w:sz w:val="24"/>
          <w:szCs w:val="24"/>
        </w:rPr>
        <w:t xml:space="preserve">, </w:t>
      </w:r>
      <w:r w:rsidR="00E616D6">
        <w:rPr>
          <w:rFonts w:ascii="Arial" w:hAnsi="Arial" w:cs="Arial"/>
          <w:sz w:val="24"/>
          <w:szCs w:val="24"/>
        </w:rPr>
        <w:t>tampoco lo son, según e</w:t>
      </w:r>
      <w:r w:rsidR="00E616D6" w:rsidRPr="004625EF">
        <w:rPr>
          <w:rFonts w:ascii="Arial" w:hAnsi="Arial" w:cs="Arial"/>
          <w:sz w:val="24"/>
          <w:szCs w:val="24"/>
          <w:lang w:eastAsia="es-CO"/>
        </w:rPr>
        <w:t>l artículo 1.4.2.2.3. del Decreto 1625 de 2016, “</w:t>
      </w:r>
      <w:r w:rsidR="00E616D6" w:rsidRPr="004625EF">
        <w:rPr>
          <w:rFonts w:ascii="Arial" w:hAnsi="Arial" w:cs="Arial"/>
          <w:i/>
          <w:iCs/>
          <w:sz w:val="24"/>
          <w:szCs w:val="24"/>
          <w:lang w:eastAsia="es-CO"/>
        </w:rPr>
        <w:t>Por medio del cual se expide el Decreto Único Reglamentario en materia tributaria</w:t>
      </w:r>
      <w:r w:rsidR="00E616D6" w:rsidRPr="004625EF">
        <w:rPr>
          <w:rFonts w:ascii="Arial" w:hAnsi="Arial" w:cs="Arial"/>
          <w:sz w:val="24"/>
          <w:szCs w:val="24"/>
          <w:lang w:eastAsia="es-CO"/>
        </w:rPr>
        <w:t>”</w:t>
      </w:r>
      <w:r w:rsidR="00D66C2F">
        <w:rPr>
          <w:rFonts w:ascii="Arial" w:hAnsi="Arial" w:cs="Arial"/>
          <w:sz w:val="24"/>
          <w:szCs w:val="24"/>
          <w:lang w:eastAsia="es-CO"/>
        </w:rPr>
        <w:t>.</w:t>
      </w:r>
    </w:p>
    <w:p w14:paraId="39FED323" w14:textId="77777777" w:rsidR="00E616D6" w:rsidRDefault="00E616D6" w:rsidP="007101A1">
      <w:pPr>
        <w:shd w:val="clear" w:color="auto" w:fill="FFFFFF"/>
        <w:spacing w:after="0" w:line="240" w:lineRule="auto"/>
        <w:ind w:right="-568"/>
        <w:jc w:val="both"/>
        <w:rPr>
          <w:rFonts w:ascii="Arial" w:hAnsi="Arial" w:cs="Arial"/>
          <w:sz w:val="24"/>
          <w:szCs w:val="24"/>
        </w:rPr>
      </w:pPr>
    </w:p>
    <w:p w14:paraId="5962911A" w14:textId="7365F545" w:rsidR="00D36395" w:rsidRDefault="00D66C2F" w:rsidP="007101A1">
      <w:pPr>
        <w:shd w:val="clear" w:color="auto" w:fill="FFFFFF"/>
        <w:spacing w:after="0" w:line="240" w:lineRule="auto"/>
        <w:ind w:right="-568"/>
        <w:jc w:val="both"/>
        <w:rPr>
          <w:rFonts w:ascii="Arial" w:hAnsi="Arial" w:cs="Arial"/>
          <w:sz w:val="24"/>
          <w:szCs w:val="24"/>
        </w:rPr>
      </w:pPr>
      <w:r>
        <w:rPr>
          <w:rFonts w:ascii="Arial" w:hAnsi="Arial" w:cs="Arial"/>
          <w:sz w:val="24"/>
          <w:szCs w:val="24"/>
        </w:rPr>
        <w:t xml:space="preserve">Adicionalmente, como el artículo 2 del Estatuto Orgánico del Presupuesto Distrital, Decreto 714 de 1996, </w:t>
      </w:r>
      <w:r w:rsidRPr="00677706">
        <w:rPr>
          <w:rFonts w:ascii="Arial" w:hAnsi="Arial" w:cs="Arial"/>
          <w:sz w:val="24"/>
          <w:szCs w:val="24"/>
        </w:rPr>
        <w:t>establece que el Presupuesto Anual del Distrito Capital “comprende el Presupuesto del Concejo, la Contraloría, la Personería, la Administración Central Distrital y los Establecimientos Públicos Distritales que incluyen a los Entes Autónomos Universitarios”</w:t>
      </w:r>
      <w:r w:rsidR="00677706" w:rsidRPr="00677706">
        <w:rPr>
          <w:rFonts w:ascii="Arial" w:hAnsi="Arial" w:cs="Arial"/>
          <w:sz w:val="24"/>
          <w:szCs w:val="24"/>
        </w:rPr>
        <w:t xml:space="preserve">, las transferencias que recibe del nivel central </w:t>
      </w:r>
      <w:r w:rsidR="00677706">
        <w:rPr>
          <w:rFonts w:ascii="Arial" w:hAnsi="Arial" w:cs="Arial"/>
          <w:sz w:val="24"/>
          <w:szCs w:val="24"/>
        </w:rPr>
        <w:t xml:space="preserve">nacional o territorial, </w:t>
      </w:r>
      <w:r w:rsidR="00D36395">
        <w:rPr>
          <w:rFonts w:ascii="Arial" w:hAnsi="Arial" w:cs="Arial"/>
          <w:sz w:val="24"/>
          <w:szCs w:val="24"/>
        </w:rPr>
        <w:t xml:space="preserve">no son </w:t>
      </w:r>
      <w:r w:rsidR="00E616D6">
        <w:rPr>
          <w:rFonts w:ascii="Arial" w:hAnsi="Arial" w:cs="Arial"/>
          <w:sz w:val="24"/>
          <w:szCs w:val="24"/>
        </w:rPr>
        <w:t>clasificadas</w:t>
      </w:r>
      <w:r w:rsidR="00D36395">
        <w:rPr>
          <w:rFonts w:ascii="Arial" w:hAnsi="Arial" w:cs="Arial"/>
          <w:sz w:val="24"/>
          <w:szCs w:val="24"/>
        </w:rPr>
        <w:t xml:space="preserve"> como recursos propios</w:t>
      </w:r>
      <w:r w:rsidR="00E616D6">
        <w:rPr>
          <w:rFonts w:ascii="Arial" w:hAnsi="Arial" w:cs="Arial"/>
          <w:sz w:val="24"/>
          <w:szCs w:val="24"/>
        </w:rPr>
        <w:t xml:space="preserve"> de la </w:t>
      </w:r>
      <w:r w:rsidR="00677706">
        <w:rPr>
          <w:rFonts w:ascii="Arial" w:hAnsi="Arial" w:cs="Arial"/>
          <w:sz w:val="24"/>
          <w:szCs w:val="24"/>
        </w:rPr>
        <w:t>Universidad Distrital.</w:t>
      </w:r>
      <w:r w:rsidR="00E616D6">
        <w:rPr>
          <w:rFonts w:ascii="Arial" w:hAnsi="Arial" w:cs="Arial"/>
          <w:sz w:val="24"/>
          <w:szCs w:val="24"/>
        </w:rPr>
        <w:t xml:space="preserve"> </w:t>
      </w:r>
    </w:p>
    <w:p w14:paraId="55F687A2" w14:textId="77777777" w:rsidR="009A54E3" w:rsidRDefault="009A54E3" w:rsidP="007101A1">
      <w:pPr>
        <w:shd w:val="clear" w:color="auto" w:fill="FFFFFF"/>
        <w:spacing w:after="0" w:line="240" w:lineRule="auto"/>
        <w:ind w:right="-568"/>
        <w:jc w:val="both"/>
        <w:rPr>
          <w:rFonts w:ascii="Arial" w:hAnsi="Arial" w:cs="Arial"/>
          <w:sz w:val="24"/>
          <w:szCs w:val="24"/>
        </w:rPr>
      </w:pPr>
    </w:p>
    <w:p w14:paraId="0048100E" w14:textId="6ED7D28E" w:rsidR="00406833" w:rsidRDefault="00677706" w:rsidP="007101A1">
      <w:pPr>
        <w:shd w:val="clear" w:color="auto" w:fill="FFFFFF"/>
        <w:spacing w:after="0" w:line="240" w:lineRule="auto"/>
        <w:ind w:right="-568"/>
        <w:jc w:val="both"/>
        <w:rPr>
          <w:rFonts w:ascii="Arial" w:hAnsi="Arial" w:cs="Arial"/>
          <w:sz w:val="24"/>
          <w:szCs w:val="24"/>
        </w:rPr>
      </w:pPr>
      <w:r>
        <w:rPr>
          <w:rFonts w:ascii="Arial" w:hAnsi="Arial" w:cs="Arial"/>
          <w:sz w:val="24"/>
          <w:szCs w:val="24"/>
        </w:rPr>
        <w:t>En consecuencia, s</w:t>
      </w:r>
      <w:r w:rsidR="00856498" w:rsidRPr="0018634D">
        <w:rPr>
          <w:rFonts w:ascii="Arial" w:hAnsi="Arial" w:cs="Arial"/>
          <w:sz w:val="24"/>
          <w:szCs w:val="24"/>
        </w:rPr>
        <w:t>í</w:t>
      </w:r>
      <w:r w:rsidR="00664FFC">
        <w:rPr>
          <w:rFonts w:ascii="Arial" w:hAnsi="Arial" w:cs="Arial"/>
          <w:sz w:val="24"/>
          <w:szCs w:val="24"/>
        </w:rPr>
        <w:t xml:space="preserve"> </w:t>
      </w:r>
      <w:r>
        <w:rPr>
          <w:rFonts w:ascii="Arial" w:hAnsi="Arial" w:cs="Arial"/>
          <w:sz w:val="24"/>
          <w:szCs w:val="24"/>
        </w:rPr>
        <w:t>sería</w:t>
      </w:r>
      <w:r w:rsidR="00664FFC">
        <w:rPr>
          <w:rFonts w:ascii="Arial" w:hAnsi="Arial" w:cs="Arial"/>
          <w:sz w:val="24"/>
          <w:szCs w:val="24"/>
        </w:rPr>
        <w:t xml:space="preserve"> procedente </w:t>
      </w:r>
      <w:r>
        <w:rPr>
          <w:rFonts w:ascii="Arial" w:hAnsi="Arial" w:cs="Arial"/>
          <w:sz w:val="24"/>
          <w:szCs w:val="24"/>
        </w:rPr>
        <w:t>marcar como exenta del GMF la cuenta bancaria de la Universidad Distrital</w:t>
      </w:r>
      <w:r w:rsidR="007101A1">
        <w:rPr>
          <w:rFonts w:ascii="Arial" w:hAnsi="Arial" w:cs="Arial"/>
          <w:sz w:val="24"/>
          <w:szCs w:val="24"/>
        </w:rPr>
        <w:t xml:space="preserve"> Francisco José de </w:t>
      </w:r>
      <w:r w:rsidR="007101A1" w:rsidRPr="007101A1">
        <w:rPr>
          <w:rFonts w:ascii="Arial" w:hAnsi="Arial" w:cs="Arial"/>
          <w:sz w:val="24"/>
          <w:szCs w:val="24"/>
        </w:rPr>
        <w:t>Caldas</w:t>
      </w:r>
      <w:r>
        <w:rPr>
          <w:rFonts w:ascii="Arial" w:hAnsi="Arial" w:cs="Arial"/>
          <w:sz w:val="24"/>
          <w:szCs w:val="24"/>
        </w:rPr>
        <w:t xml:space="preserve"> en donde se reciben</w:t>
      </w:r>
      <w:r w:rsidR="007101A1">
        <w:rPr>
          <w:rFonts w:ascii="Arial" w:hAnsi="Arial" w:cs="Arial"/>
          <w:sz w:val="24"/>
          <w:szCs w:val="24"/>
        </w:rPr>
        <w:t>, para ser ejecutados,</w:t>
      </w:r>
      <w:r>
        <w:rPr>
          <w:rFonts w:ascii="Arial" w:hAnsi="Arial" w:cs="Arial"/>
          <w:sz w:val="24"/>
          <w:szCs w:val="24"/>
        </w:rPr>
        <w:t xml:space="preserve"> de manera exclusiva</w:t>
      </w:r>
      <w:r w:rsidR="007101A1">
        <w:rPr>
          <w:rFonts w:ascii="Arial" w:hAnsi="Arial" w:cs="Arial"/>
          <w:sz w:val="24"/>
          <w:szCs w:val="24"/>
        </w:rPr>
        <w:t>,</w:t>
      </w:r>
      <w:r>
        <w:rPr>
          <w:rFonts w:ascii="Arial" w:hAnsi="Arial" w:cs="Arial"/>
          <w:sz w:val="24"/>
          <w:szCs w:val="24"/>
        </w:rPr>
        <w:t xml:space="preserve"> los recursos de las transferencias del orden nacional, </w:t>
      </w:r>
      <w:r w:rsidR="00664FFC">
        <w:rPr>
          <w:rFonts w:ascii="Arial" w:hAnsi="Arial" w:cs="Arial"/>
          <w:sz w:val="24"/>
          <w:szCs w:val="24"/>
        </w:rPr>
        <w:t xml:space="preserve">por </w:t>
      </w:r>
      <w:r w:rsidR="007101A1">
        <w:rPr>
          <w:rFonts w:ascii="Arial" w:hAnsi="Arial" w:cs="Arial"/>
          <w:sz w:val="24"/>
          <w:szCs w:val="24"/>
        </w:rPr>
        <w:t>lo tanto,</w:t>
      </w:r>
      <w:r w:rsidR="00664FFC">
        <w:rPr>
          <w:rFonts w:ascii="Arial" w:hAnsi="Arial" w:cs="Arial"/>
          <w:sz w:val="24"/>
          <w:szCs w:val="24"/>
        </w:rPr>
        <w:t xml:space="preserve"> </w:t>
      </w:r>
      <w:r w:rsidR="00C73723">
        <w:rPr>
          <w:rFonts w:ascii="Arial" w:hAnsi="Arial" w:cs="Arial"/>
          <w:sz w:val="24"/>
          <w:szCs w:val="24"/>
        </w:rPr>
        <w:t xml:space="preserve">no </w:t>
      </w:r>
      <w:r>
        <w:rPr>
          <w:rFonts w:ascii="Arial" w:hAnsi="Arial" w:cs="Arial"/>
          <w:sz w:val="24"/>
          <w:szCs w:val="24"/>
        </w:rPr>
        <w:t>son</w:t>
      </w:r>
      <w:r w:rsidR="00C73723">
        <w:rPr>
          <w:rFonts w:ascii="Arial" w:hAnsi="Arial" w:cs="Arial"/>
          <w:sz w:val="24"/>
          <w:szCs w:val="24"/>
        </w:rPr>
        <w:t xml:space="preserve"> recursos propios</w:t>
      </w:r>
      <w:r w:rsidR="007101A1">
        <w:rPr>
          <w:rFonts w:ascii="Arial" w:hAnsi="Arial" w:cs="Arial"/>
          <w:sz w:val="24"/>
          <w:szCs w:val="24"/>
        </w:rPr>
        <w:t xml:space="preserve"> de la Universidad</w:t>
      </w:r>
      <w:r w:rsidR="00406833">
        <w:rPr>
          <w:rFonts w:ascii="Arial" w:hAnsi="Arial" w:cs="Arial"/>
          <w:sz w:val="24"/>
          <w:szCs w:val="24"/>
        </w:rPr>
        <w:t>.</w:t>
      </w:r>
    </w:p>
    <w:p w14:paraId="68B59502" w14:textId="19225EA5" w:rsidR="007101A1" w:rsidRDefault="007101A1" w:rsidP="007101A1">
      <w:pPr>
        <w:shd w:val="clear" w:color="auto" w:fill="FFFFFF"/>
        <w:spacing w:after="0" w:line="240" w:lineRule="auto"/>
        <w:ind w:right="-568"/>
        <w:jc w:val="both"/>
        <w:rPr>
          <w:rFonts w:ascii="Arial" w:hAnsi="Arial" w:cs="Arial"/>
          <w:sz w:val="24"/>
          <w:szCs w:val="24"/>
        </w:rPr>
      </w:pPr>
    </w:p>
    <w:p w14:paraId="5695AF84" w14:textId="5CF5D279" w:rsidR="007101A1" w:rsidRDefault="007101A1" w:rsidP="007101A1">
      <w:pPr>
        <w:shd w:val="clear" w:color="auto" w:fill="FFFFFF"/>
        <w:spacing w:after="0" w:line="240" w:lineRule="auto"/>
        <w:ind w:right="-568"/>
        <w:jc w:val="both"/>
        <w:rPr>
          <w:rFonts w:ascii="Arial" w:hAnsi="Arial" w:cs="Arial"/>
          <w:sz w:val="24"/>
          <w:szCs w:val="24"/>
        </w:rPr>
      </w:pPr>
      <w:r>
        <w:rPr>
          <w:rFonts w:ascii="Arial" w:hAnsi="Arial" w:cs="Arial"/>
          <w:sz w:val="24"/>
          <w:szCs w:val="24"/>
        </w:rPr>
        <w:t>En todo caso, el concepto final con autoridad le corresponde a la DIAN, por lo cual se recomienda consultar para mayor seguridad jur</w:t>
      </w:r>
      <w:r w:rsidR="00AA287C">
        <w:rPr>
          <w:rFonts w:ascii="Arial" w:hAnsi="Arial" w:cs="Arial"/>
          <w:sz w:val="24"/>
          <w:szCs w:val="24"/>
        </w:rPr>
        <w:t>ídica, con base en el análisis aquí planteado.</w:t>
      </w:r>
      <w:r>
        <w:rPr>
          <w:rFonts w:ascii="Arial" w:hAnsi="Arial" w:cs="Arial"/>
          <w:sz w:val="24"/>
          <w:szCs w:val="24"/>
        </w:rPr>
        <w:t xml:space="preserve"> </w:t>
      </w:r>
    </w:p>
    <w:p w14:paraId="2B51AE92" w14:textId="77777777" w:rsidR="00C73723" w:rsidRDefault="00C73723" w:rsidP="007101A1">
      <w:pPr>
        <w:shd w:val="clear" w:color="auto" w:fill="FFFFFF"/>
        <w:spacing w:after="0" w:line="240" w:lineRule="auto"/>
        <w:ind w:right="-568"/>
        <w:jc w:val="both"/>
        <w:rPr>
          <w:rFonts w:ascii="Arial" w:hAnsi="Arial" w:cs="Arial"/>
          <w:sz w:val="24"/>
          <w:szCs w:val="24"/>
          <w:lang w:eastAsia="es-CO"/>
        </w:rPr>
      </w:pPr>
    </w:p>
    <w:p w14:paraId="1536AD41" w14:textId="4E04DAFB" w:rsidR="001D66D1" w:rsidRPr="00406833" w:rsidRDefault="001D66D1" w:rsidP="007101A1">
      <w:pPr>
        <w:shd w:val="clear" w:color="auto" w:fill="FFFFFF"/>
        <w:spacing w:after="0" w:line="240" w:lineRule="auto"/>
        <w:ind w:right="-568"/>
        <w:jc w:val="both"/>
        <w:rPr>
          <w:rFonts w:ascii="Arial" w:hAnsi="Arial" w:cs="Arial"/>
          <w:sz w:val="24"/>
          <w:szCs w:val="24"/>
          <w:lang w:eastAsia="es-CO"/>
        </w:rPr>
      </w:pPr>
      <w:r w:rsidRPr="004625EF">
        <w:rPr>
          <w:rFonts w:ascii="Arial" w:hAnsi="Arial" w:cs="Arial"/>
          <w:sz w:val="24"/>
          <w:szCs w:val="24"/>
          <w:lang w:eastAsia="es-CO"/>
        </w:rPr>
        <w:t xml:space="preserve">En procura de impulsar la política de mejoramiento continuo en el procedimiento de Asesoría Jurídica de la Secretaría Distrital de Hacienda, solicito verifique si el concepto emitido contribuyó a resolver de fondo el problema jurídico planteado. </w:t>
      </w:r>
      <w:r w:rsidRPr="00406833">
        <w:rPr>
          <w:rFonts w:ascii="Arial" w:hAnsi="Arial" w:cs="Arial"/>
          <w:sz w:val="24"/>
          <w:szCs w:val="24"/>
          <w:lang w:eastAsia="es-CO"/>
        </w:rPr>
        <w:t>De no ser así, por favor informe de manera inmediata a la Dirección Jurídica.</w:t>
      </w:r>
    </w:p>
    <w:p w14:paraId="3EF00251" w14:textId="77777777" w:rsidR="00406833" w:rsidRPr="00406833" w:rsidRDefault="00406833" w:rsidP="007101A1">
      <w:pPr>
        <w:shd w:val="clear" w:color="auto" w:fill="FFFFFF"/>
        <w:spacing w:after="0" w:line="240" w:lineRule="auto"/>
        <w:ind w:right="-568"/>
        <w:jc w:val="both"/>
        <w:rPr>
          <w:rFonts w:ascii="Arial" w:hAnsi="Arial" w:cs="Arial"/>
          <w:sz w:val="24"/>
          <w:szCs w:val="24"/>
          <w:lang w:eastAsia="es-CO"/>
        </w:rPr>
      </w:pPr>
    </w:p>
    <w:p w14:paraId="443136FE" w14:textId="77777777" w:rsidR="00406833" w:rsidRPr="00406833" w:rsidRDefault="00406833" w:rsidP="007101A1">
      <w:pPr>
        <w:tabs>
          <w:tab w:val="left" w:pos="1560"/>
        </w:tabs>
        <w:spacing w:after="0" w:line="240" w:lineRule="auto"/>
        <w:ind w:right="-568"/>
        <w:contextualSpacing/>
        <w:jc w:val="both"/>
        <w:rPr>
          <w:rFonts w:ascii="Arial" w:hAnsi="Arial" w:cs="Arial"/>
          <w:sz w:val="24"/>
          <w:szCs w:val="24"/>
        </w:rPr>
      </w:pPr>
      <w:r w:rsidRPr="00406833">
        <w:rPr>
          <w:rFonts w:ascii="Arial" w:hAnsi="Arial" w:cs="Arial"/>
          <w:sz w:val="24"/>
          <w:szCs w:val="24"/>
        </w:rPr>
        <w:t xml:space="preserve">Cordialmente, </w:t>
      </w:r>
    </w:p>
    <w:p w14:paraId="2F178664" w14:textId="77777777" w:rsidR="00406833" w:rsidRPr="00406833" w:rsidRDefault="00406833" w:rsidP="007101A1">
      <w:pPr>
        <w:tabs>
          <w:tab w:val="left" w:pos="1560"/>
        </w:tabs>
        <w:spacing w:after="0" w:line="240" w:lineRule="auto"/>
        <w:ind w:right="-568"/>
        <w:contextualSpacing/>
        <w:jc w:val="both"/>
        <w:rPr>
          <w:rFonts w:ascii="Arial" w:hAnsi="Arial" w:cs="Arial"/>
          <w:sz w:val="24"/>
          <w:szCs w:val="24"/>
        </w:rPr>
      </w:pPr>
    </w:p>
    <w:p w14:paraId="348B752F" w14:textId="77777777" w:rsidR="00406833" w:rsidRPr="00406833" w:rsidRDefault="00406833" w:rsidP="007101A1">
      <w:pPr>
        <w:spacing w:after="0" w:line="240" w:lineRule="auto"/>
        <w:ind w:right="-568"/>
        <w:contextualSpacing/>
        <w:jc w:val="both"/>
        <w:rPr>
          <w:rFonts w:ascii="Arial" w:hAnsi="Arial" w:cs="Arial"/>
          <w:sz w:val="24"/>
          <w:szCs w:val="24"/>
        </w:rPr>
      </w:pPr>
    </w:p>
    <w:p w14:paraId="651B5128" w14:textId="5D986228" w:rsidR="00406833" w:rsidRDefault="00406833" w:rsidP="007101A1">
      <w:pPr>
        <w:spacing w:after="0" w:line="240" w:lineRule="auto"/>
        <w:ind w:right="-568"/>
        <w:contextualSpacing/>
        <w:jc w:val="both"/>
        <w:rPr>
          <w:rFonts w:ascii="Arial" w:hAnsi="Arial" w:cs="Arial"/>
          <w:sz w:val="24"/>
          <w:szCs w:val="24"/>
        </w:rPr>
      </w:pPr>
    </w:p>
    <w:p w14:paraId="39FA73CB" w14:textId="583915BA" w:rsidR="00AA287C" w:rsidRDefault="00AA287C" w:rsidP="007101A1">
      <w:pPr>
        <w:spacing w:after="0" w:line="240" w:lineRule="auto"/>
        <w:ind w:right="-568"/>
        <w:contextualSpacing/>
        <w:jc w:val="both"/>
        <w:rPr>
          <w:rFonts w:ascii="Arial" w:hAnsi="Arial" w:cs="Arial"/>
          <w:sz w:val="24"/>
          <w:szCs w:val="24"/>
        </w:rPr>
      </w:pPr>
    </w:p>
    <w:p w14:paraId="21035863" w14:textId="77777777" w:rsidR="00AA287C" w:rsidRPr="00406833" w:rsidRDefault="00AA287C" w:rsidP="007101A1">
      <w:pPr>
        <w:spacing w:after="0" w:line="240" w:lineRule="auto"/>
        <w:ind w:right="-568"/>
        <w:contextualSpacing/>
        <w:jc w:val="both"/>
        <w:rPr>
          <w:rFonts w:ascii="Arial" w:hAnsi="Arial" w:cs="Arial"/>
          <w:sz w:val="24"/>
          <w:szCs w:val="24"/>
        </w:rPr>
      </w:pPr>
    </w:p>
    <w:p w14:paraId="64055780" w14:textId="77777777" w:rsidR="00406833" w:rsidRPr="00406833" w:rsidRDefault="00406833" w:rsidP="007101A1">
      <w:pPr>
        <w:spacing w:after="0" w:line="240" w:lineRule="auto"/>
        <w:ind w:right="-568"/>
        <w:contextualSpacing/>
        <w:jc w:val="both"/>
        <w:rPr>
          <w:rFonts w:ascii="Arial" w:hAnsi="Arial" w:cs="Arial"/>
          <w:sz w:val="24"/>
          <w:szCs w:val="24"/>
        </w:rPr>
      </w:pPr>
    </w:p>
    <w:p w14:paraId="79D4D80A" w14:textId="77777777" w:rsidR="007101A1" w:rsidRPr="00B9586C" w:rsidRDefault="007101A1" w:rsidP="007101A1">
      <w:pPr>
        <w:spacing w:after="0" w:line="240" w:lineRule="auto"/>
        <w:ind w:right="-568"/>
        <w:jc w:val="both"/>
        <w:rPr>
          <w:rFonts w:ascii="Arial" w:hAnsi="Arial" w:cs="Arial"/>
          <w:b/>
          <w:sz w:val="24"/>
          <w:szCs w:val="24"/>
        </w:rPr>
      </w:pPr>
      <w:r>
        <w:rPr>
          <w:rFonts w:ascii="Arial" w:hAnsi="Arial" w:cs="Arial"/>
          <w:b/>
          <w:sz w:val="24"/>
          <w:szCs w:val="24"/>
        </w:rPr>
        <w:t>LEONARDO ARTURO PAZOS GALINDO</w:t>
      </w:r>
    </w:p>
    <w:p w14:paraId="75710039" w14:textId="77777777" w:rsidR="007101A1" w:rsidRPr="00B9586C" w:rsidRDefault="007101A1" w:rsidP="007101A1">
      <w:pPr>
        <w:spacing w:after="0" w:line="240" w:lineRule="auto"/>
        <w:ind w:right="-568"/>
        <w:jc w:val="both"/>
        <w:rPr>
          <w:rFonts w:ascii="Arial" w:hAnsi="Arial" w:cs="Arial"/>
          <w:sz w:val="24"/>
          <w:szCs w:val="24"/>
        </w:rPr>
      </w:pPr>
      <w:r w:rsidRPr="00B9586C">
        <w:rPr>
          <w:rFonts w:ascii="Arial" w:hAnsi="Arial" w:cs="Arial"/>
          <w:sz w:val="24"/>
          <w:szCs w:val="24"/>
        </w:rPr>
        <w:t>Director Jurídico</w:t>
      </w:r>
      <w:r>
        <w:rPr>
          <w:rFonts w:ascii="Arial" w:hAnsi="Arial" w:cs="Arial"/>
          <w:sz w:val="24"/>
          <w:szCs w:val="24"/>
        </w:rPr>
        <w:t xml:space="preserve"> </w:t>
      </w:r>
    </w:p>
    <w:p w14:paraId="0B229002" w14:textId="77777777" w:rsidR="007101A1" w:rsidRPr="00B9586C" w:rsidRDefault="0050240B" w:rsidP="007101A1">
      <w:pPr>
        <w:spacing w:after="0" w:line="240" w:lineRule="auto"/>
        <w:ind w:right="-568"/>
        <w:jc w:val="both"/>
        <w:rPr>
          <w:rFonts w:ascii="Arial" w:hAnsi="Arial" w:cs="Arial"/>
          <w:sz w:val="24"/>
          <w:szCs w:val="24"/>
        </w:rPr>
      </w:pPr>
      <w:hyperlink r:id="rId18" w:history="1">
        <w:r w:rsidR="007101A1" w:rsidRPr="00E35B38">
          <w:rPr>
            <w:rStyle w:val="Hipervnculo"/>
            <w:rFonts w:ascii="Arial" w:hAnsi="Arial" w:cs="Arial"/>
            <w:sz w:val="24"/>
            <w:szCs w:val="24"/>
          </w:rPr>
          <w:t>lpazos@shd.gov.co</w:t>
        </w:r>
      </w:hyperlink>
    </w:p>
    <w:p w14:paraId="4A4F670B" w14:textId="77777777" w:rsidR="00406833" w:rsidRPr="00406833" w:rsidRDefault="00406833" w:rsidP="007101A1">
      <w:pPr>
        <w:shd w:val="clear" w:color="auto" w:fill="FFFFFF"/>
        <w:spacing w:after="0" w:line="240" w:lineRule="auto"/>
        <w:ind w:right="-568"/>
        <w:jc w:val="both"/>
        <w:rPr>
          <w:rFonts w:ascii="Arial" w:hAnsi="Arial" w:cs="Arial"/>
          <w:sz w:val="24"/>
          <w:szCs w:val="24"/>
        </w:rPr>
      </w:pPr>
    </w:p>
    <w:p w14:paraId="2BB72F02" w14:textId="77777777" w:rsidR="00C73723" w:rsidRDefault="00C73723" w:rsidP="007101A1">
      <w:pPr>
        <w:spacing w:after="0" w:line="240" w:lineRule="auto"/>
        <w:ind w:right="-568"/>
        <w:jc w:val="both"/>
        <w:rPr>
          <w:rFonts w:ascii="Arial" w:hAnsi="Arial" w:cs="Arial"/>
          <w:sz w:val="20"/>
          <w:szCs w:val="20"/>
        </w:rPr>
      </w:pPr>
    </w:p>
    <w:p w14:paraId="6EF6C18D" w14:textId="7A3DB0DE" w:rsidR="00406833" w:rsidRPr="00C73723" w:rsidRDefault="00C73723" w:rsidP="007101A1">
      <w:pPr>
        <w:spacing w:after="0" w:line="240" w:lineRule="auto"/>
        <w:ind w:right="-568"/>
        <w:jc w:val="both"/>
        <w:rPr>
          <w:rFonts w:ascii="Arial" w:hAnsi="Arial" w:cs="Arial"/>
          <w:sz w:val="20"/>
          <w:szCs w:val="20"/>
        </w:rPr>
      </w:pPr>
      <w:r w:rsidRPr="00C73723">
        <w:rPr>
          <w:rFonts w:ascii="Arial" w:hAnsi="Arial" w:cs="Arial"/>
          <w:sz w:val="20"/>
          <w:szCs w:val="20"/>
        </w:rPr>
        <w:t>Revisado por: Carol Murillo Herrera</w:t>
      </w:r>
    </w:p>
    <w:p w14:paraId="5534E93C" w14:textId="0077790C" w:rsidR="00A3119F" w:rsidRPr="0018634D" w:rsidRDefault="00C73723" w:rsidP="007101A1">
      <w:pPr>
        <w:ind w:right="-568"/>
        <w:rPr>
          <w:rFonts w:ascii="Arial" w:hAnsi="Arial" w:cs="Arial"/>
          <w:sz w:val="24"/>
          <w:szCs w:val="24"/>
        </w:rPr>
      </w:pPr>
      <w:r w:rsidRPr="00C73723">
        <w:rPr>
          <w:rFonts w:ascii="Arial" w:hAnsi="Arial" w:cs="Arial"/>
          <w:sz w:val="20"/>
          <w:szCs w:val="20"/>
        </w:rPr>
        <w:t>Proyectado</w:t>
      </w:r>
      <w:r>
        <w:rPr>
          <w:rFonts w:ascii="Arial" w:hAnsi="Arial" w:cs="Arial"/>
          <w:sz w:val="20"/>
          <w:szCs w:val="20"/>
        </w:rPr>
        <w:t xml:space="preserve"> </w:t>
      </w:r>
      <w:r w:rsidRPr="00C73723">
        <w:rPr>
          <w:rFonts w:ascii="Arial" w:hAnsi="Arial" w:cs="Arial"/>
          <w:sz w:val="20"/>
          <w:szCs w:val="20"/>
        </w:rPr>
        <w:t>por:</w:t>
      </w:r>
      <w:r w:rsidRPr="00C73723">
        <w:rPr>
          <w:rFonts w:ascii="Arial" w:hAnsi="Arial" w:cs="Arial"/>
          <w:sz w:val="20"/>
          <w:szCs w:val="20"/>
        </w:rPr>
        <w:tab/>
        <w:t>Diego Alejandro Bríñez Olaya</w:t>
      </w:r>
    </w:p>
    <w:sectPr w:rsidR="00A3119F" w:rsidRPr="0018634D" w:rsidSect="00A17D79">
      <w:headerReference w:type="default" r:id="rId19"/>
      <w:footerReference w:type="default" r:id="rId20"/>
      <w:pgSz w:w="11906" w:h="16838"/>
      <w:pgMar w:top="1701" w:right="1701" w:bottom="1418" w:left="170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E25E" w14:textId="77777777" w:rsidR="0050240B" w:rsidRDefault="0050240B">
      <w:pPr>
        <w:spacing w:after="0" w:line="240" w:lineRule="auto"/>
      </w:pPr>
      <w:r>
        <w:separator/>
      </w:r>
    </w:p>
  </w:endnote>
  <w:endnote w:type="continuationSeparator" w:id="0">
    <w:p w14:paraId="11CA8B64" w14:textId="77777777" w:rsidR="0050240B" w:rsidRDefault="0050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245ED059" w:rsidR="00BD64A1" w:rsidRDefault="00563B23">
    <w:pPr>
      <w:pStyle w:val="Piedepgina"/>
    </w:pPr>
    <w:r>
      <w:rPr>
        <w:noProof/>
      </w:rPr>
      <mc:AlternateContent>
        <mc:Choice Requires="wps">
          <w:drawing>
            <wp:anchor distT="0" distB="0" distL="114300" distR="114300" simplePos="0" relativeHeight="251662336" behindDoc="0" locked="0" layoutInCell="1" allowOverlap="1" wp14:anchorId="646BA5CB" wp14:editId="693CB392">
              <wp:simplePos x="0" y="0"/>
              <wp:positionH relativeFrom="rightMargin">
                <wp:posOffset>266700</wp:posOffset>
              </wp:positionH>
              <wp:positionV relativeFrom="paragraph">
                <wp:posOffset>-99060</wp:posOffset>
              </wp:positionV>
              <wp:extent cx="488315" cy="293144"/>
              <wp:effectExtent l="0" t="0" r="6985" b="1206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9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05E6A" w14:textId="77777777" w:rsidR="00563B23" w:rsidRPr="00C215BF" w:rsidRDefault="00563B23">
                          <w:pPr>
                            <w:pStyle w:val="Encabezado"/>
                            <w:jc w:val="center"/>
                            <w:rPr>
                              <w:rFonts w:ascii="Arial" w:hAnsi="Arial" w:cs="Arial"/>
                              <w:sz w:val="21"/>
                              <w:szCs w:val="21"/>
                            </w:rPr>
                          </w:pPr>
                          <w:r w:rsidRPr="00C215BF">
                            <w:fldChar w:fldCharType="begin"/>
                          </w:r>
                          <w:r w:rsidRPr="00C215BF">
                            <w:rPr>
                              <w:rFonts w:ascii="Arial" w:hAnsi="Arial" w:cs="Arial"/>
                              <w:sz w:val="21"/>
                              <w:szCs w:val="21"/>
                            </w:rPr>
                            <w:instrText>PAGE    \* MERGEFORMAT</w:instrText>
                          </w:r>
                          <w:r w:rsidRPr="00C215BF">
                            <w:fldChar w:fldCharType="separate"/>
                          </w:r>
                          <w:r w:rsidRPr="00C215BF">
                            <w:rPr>
                              <w:rStyle w:val="Nmerodepgina"/>
                              <w:rFonts w:ascii="Arial" w:hAnsi="Arial" w:cs="Arial"/>
                              <w:sz w:val="21"/>
                              <w:szCs w:val="21"/>
                            </w:rPr>
                            <w:t>2</w:t>
                          </w:r>
                          <w:r w:rsidRPr="00C215BF">
                            <w:rPr>
                              <w:rStyle w:val="Nmerodepgina"/>
                              <w:rFonts w:ascii="Arial" w:hAnsi="Arial" w:cs="Arial"/>
                              <w:sz w:val="21"/>
                              <w:szCs w:val="21"/>
                            </w:rPr>
                            <w:fldChar w:fldCharType="end"/>
                          </w:r>
                        </w:p>
                      </w:txbxContent>
                    </wps:txbx>
                    <wps:bodyPr rot="0" vert="horz" wrap="square" lIns="0" tIns="0" rIns="0" bIns="0" anchor="ctr" anchorCtr="0" upright="1">
                      <a:noAutofit/>
                    </wps:bodyPr>
                  </wps:wsp>
                </a:graphicData>
              </a:graphic>
            </wp:anchor>
          </w:drawing>
        </mc:Choice>
        <mc:Fallback>
          <w:pict>
            <v:shapetype w14:anchorId="646BA5CB" id="_x0000_t202" coordsize="21600,21600" o:spt="202" path="m,l,21600r21600,l21600,xe">
              <v:stroke joinstyle="miter"/>
              <v:path gradientshapeok="t" o:connecttype="rect"/>
            </v:shapetype>
            <v:shape id="Text Box 71" o:spid="_x0000_s1026" type="#_x0000_t202" style="position:absolute;margin-left:21pt;margin-top:-7.8pt;width:38.45pt;height:23.1pt;z-index:25166233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" filled="f" stroked="f">
              <v:textbox inset="0,0,0,0">
                <w:txbxContent>
                  <w:p w14:paraId="47A05E6A" w14:textId="77777777" w:rsidR="00563B23" w:rsidRPr="00C215BF" w:rsidRDefault="00563B23">
                    <w:pPr>
                      <w:pStyle w:val="Encabezado"/>
                      <w:jc w:val="center"/>
                      <w:rPr>
                        <w:rFonts w:ascii="Arial" w:hAnsi="Arial" w:cs="Arial"/>
                        <w:sz w:val="21"/>
                        <w:szCs w:val="21"/>
                      </w:rPr>
                    </w:pPr>
                    <w:r w:rsidRPr="00C215BF">
                      <w:fldChar w:fldCharType="begin"/>
                    </w:r>
                    <w:r w:rsidRPr="00C215BF">
                      <w:rPr>
                        <w:rFonts w:ascii="Arial" w:hAnsi="Arial" w:cs="Arial"/>
                        <w:sz w:val="21"/>
                        <w:szCs w:val="21"/>
                      </w:rPr>
                      <w:instrText>PAGE    \* MERGEFORMAT</w:instrText>
                    </w:r>
                    <w:r w:rsidRPr="00C215BF">
                      <w:fldChar w:fldCharType="separate"/>
                    </w:r>
                    <w:r w:rsidRPr="00C215BF">
                      <w:rPr>
                        <w:rStyle w:val="Nmerodepgina"/>
                        <w:rFonts w:ascii="Arial" w:hAnsi="Arial" w:cs="Arial"/>
                        <w:sz w:val="21"/>
                        <w:szCs w:val="21"/>
                      </w:rPr>
                      <w:t>2</w:t>
                    </w:r>
                    <w:r w:rsidRPr="00C215BF">
                      <w:rPr>
                        <w:rStyle w:val="Nmerodepgina"/>
                        <w:rFonts w:ascii="Arial" w:hAnsi="Arial" w:cs="Arial"/>
                        <w:sz w:val="21"/>
                        <w:szCs w:val="21"/>
                      </w:rPr>
                      <w:fldChar w:fldCharType="end"/>
                    </w:r>
                  </w:p>
                </w:txbxContent>
              </v:textbox>
              <w10:wrap anchorx="margin"/>
            </v:shape>
          </w:pict>
        </mc:Fallback>
      </mc:AlternateContent>
    </w:r>
    <w:r w:rsidR="00FA42B0">
      <w:rPr>
        <w:noProof/>
      </w:rPr>
      <w:drawing>
        <wp:anchor distT="0" distB="0" distL="114300" distR="114300" simplePos="0" relativeHeight="251659264" behindDoc="1" locked="0" layoutInCell="1" allowOverlap="1" wp14:anchorId="1307D7E1" wp14:editId="4386C015">
          <wp:simplePos x="0" y="0"/>
          <wp:positionH relativeFrom="page">
            <wp:align>left</wp:align>
          </wp:positionH>
          <wp:positionV relativeFrom="paragraph">
            <wp:posOffset>-628650</wp:posOffset>
          </wp:positionV>
          <wp:extent cx="7804728" cy="1389980"/>
          <wp:effectExtent l="0" t="0" r="0" b="0"/>
          <wp:wrapNone/>
          <wp:docPr id="12"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F772" w14:textId="77777777" w:rsidR="0050240B" w:rsidRDefault="0050240B">
      <w:pPr>
        <w:spacing w:after="0" w:line="240" w:lineRule="auto"/>
      </w:pPr>
      <w:r>
        <w:separator/>
      </w:r>
    </w:p>
  </w:footnote>
  <w:footnote w:type="continuationSeparator" w:id="0">
    <w:p w14:paraId="0349AA44" w14:textId="77777777" w:rsidR="0050240B" w:rsidRDefault="0050240B">
      <w:pPr>
        <w:spacing w:after="0" w:line="240" w:lineRule="auto"/>
      </w:pPr>
      <w:r>
        <w:continuationSeparator/>
      </w:r>
    </w:p>
  </w:footnote>
  <w:footnote w:id="1">
    <w:p w14:paraId="687BC79B" w14:textId="62600B05" w:rsidR="006C3674" w:rsidRPr="004625EF" w:rsidRDefault="006C3674" w:rsidP="00AA287C">
      <w:pPr>
        <w:spacing w:after="0" w:line="240" w:lineRule="auto"/>
        <w:ind w:right="-568"/>
        <w:jc w:val="both"/>
        <w:rPr>
          <w:rFonts w:ascii="Arial" w:hAnsi="Arial" w:cs="Arial"/>
          <w:sz w:val="20"/>
          <w:szCs w:val="20"/>
        </w:rPr>
      </w:pPr>
      <w:r>
        <w:rPr>
          <w:rStyle w:val="Refdenotaalpie"/>
        </w:rPr>
        <w:footnoteRef/>
      </w:r>
      <w:r>
        <w:t xml:space="preserve"> </w:t>
      </w:r>
      <w:r w:rsidRPr="004625EF">
        <w:rPr>
          <w:rFonts w:ascii="Arial" w:hAnsi="Arial" w:cs="Arial"/>
          <w:sz w:val="20"/>
          <w:szCs w:val="20"/>
        </w:rPr>
        <w:t>Este tributo fue reglamentado por el Gobierno Nacional, mediante el Decreto 1828 de 2013</w:t>
      </w:r>
      <w:r w:rsidR="004B4C95">
        <w:rPr>
          <w:rFonts w:ascii="Arial" w:hAnsi="Arial" w:cs="Arial"/>
          <w:sz w:val="20"/>
          <w:szCs w:val="20"/>
        </w:rPr>
        <w:t>,</w:t>
      </w:r>
      <w:r w:rsidRPr="004625EF">
        <w:rPr>
          <w:rFonts w:ascii="Arial" w:hAnsi="Arial" w:cs="Arial"/>
          <w:sz w:val="20"/>
          <w:szCs w:val="20"/>
        </w:rPr>
        <w:t xml:space="preserve"> “por medio del cual se reglamenta parcialmente la Ley 1607 de 2012”, por el Decreto 3029 de fecha 27 de diciembre de 2013, “por medio del cual se modifica el Decreto 1828 de 2013”.  Debido a que el Decreto 3029 de 2013 no fue publicado en el Diario Oficial antes del 1° de enero de 2014, fecha a partir de la cual entraría en vigencia de acuerdo con su artículo 2°. En consecuencia, para garantizar la seguridad y certeza jurídica, se derogó el Decreto 3029 de 2013 y fue expedido el Decreto 14 de 2014 “por medio del cual se modifica el Decreto 1828 de 2013”.</w:t>
      </w:r>
    </w:p>
    <w:p w14:paraId="18C46F6D" w14:textId="6FA57E04" w:rsidR="006C3674" w:rsidRPr="004625EF" w:rsidRDefault="006C3674" w:rsidP="00AA287C">
      <w:pPr>
        <w:pStyle w:val="Textonotapie"/>
        <w:ind w:right="-568"/>
        <w:rPr>
          <w:lang w:val="es-CO"/>
        </w:rPr>
      </w:pPr>
    </w:p>
  </w:footnote>
  <w:footnote w:id="2">
    <w:p w14:paraId="391FF3BD" w14:textId="6FDFD279" w:rsidR="00075E33" w:rsidRPr="004625EF" w:rsidRDefault="00075E33" w:rsidP="00AA287C">
      <w:pPr>
        <w:pStyle w:val="Textonotapie"/>
        <w:ind w:right="-568"/>
        <w:rPr>
          <w:rFonts w:ascii="Arial" w:hAnsi="Arial" w:cs="Arial"/>
          <w:lang w:val="es-CO"/>
        </w:rPr>
      </w:pPr>
      <w:r w:rsidRPr="004625EF">
        <w:rPr>
          <w:rStyle w:val="Refdenotaalpie"/>
          <w:rFonts w:ascii="Arial" w:hAnsi="Arial" w:cs="Arial"/>
        </w:rPr>
        <w:footnoteRef/>
      </w:r>
      <w:r w:rsidRPr="004625EF">
        <w:rPr>
          <w:rFonts w:ascii="Arial" w:hAnsi="Arial" w:cs="Arial"/>
        </w:rPr>
        <w:t xml:space="preserve"> </w:t>
      </w:r>
      <w:r w:rsidR="004B4C95">
        <w:rPr>
          <w:rFonts w:ascii="Arial" w:hAnsi="Arial" w:cs="Arial"/>
        </w:rPr>
        <w:t xml:space="preserve">  </w:t>
      </w:r>
      <w:r w:rsidRPr="004625EF">
        <w:rPr>
          <w:rFonts w:ascii="Arial" w:hAnsi="Arial" w:cs="Arial"/>
          <w:color w:val="4B4949"/>
        </w:rPr>
        <w:t>Artículo derogado por el artículo </w:t>
      </w:r>
      <w:hyperlink r:id="rId1" w:anchor="376" w:history="1">
        <w:r w:rsidRPr="004625EF">
          <w:rPr>
            <w:rStyle w:val="Hipervnculo"/>
            <w:rFonts w:ascii="Arial" w:hAnsi="Arial" w:cs="Arial"/>
            <w:color w:val="0073FF"/>
          </w:rPr>
          <w:t>376</w:t>
        </w:r>
      </w:hyperlink>
      <w:r w:rsidRPr="004625EF">
        <w:rPr>
          <w:rFonts w:ascii="Arial" w:hAnsi="Arial" w:cs="Arial"/>
          <w:color w:val="4B4949"/>
        </w:rPr>
        <w:t> de la Ley 1819 de 2016</w:t>
      </w:r>
      <w:r w:rsidR="004B4C95">
        <w:rPr>
          <w:rFonts w:ascii="Arial" w:hAnsi="Arial" w:cs="Arial"/>
          <w:color w:val="4B4949"/>
        </w:rPr>
        <w:t>.</w:t>
      </w:r>
    </w:p>
  </w:footnote>
  <w:footnote w:id="3">
    <w:p w14:paraId="277ABC7B" w14:textId="49C62A4C" w:rsidR="004A556C" w:rsidRPr="004625EF" w:rsidRDefault="004A556C" w:rsidP="00AA287C">
      <w:pPr>
        <w:pStyle w:val="Textonotapie"/>
        <w:ind w:right="-568"/>
        <w:rPr>
          <w:rFonts w:ascii="Arial" w:hAnsi="Arial" w:cs="Arial"/>
          <w:lang w:val="es-CO"/>
        </w:rPr>
      </w:pPr>
      <w:r w:rsidRPr="004625EF">
        <w:rPr>
          <w:rStyle w:val="Refdenotaalpie"/>
          <w:rFonts w:ascii="Arial" w:hAnsi="Arial" w:cs="Arial"/>
        </w:rPr>
        <w:footnoteRef/>
      </w:r>
      <w:r w:rsidRPr="004625EF">
        <w:rPr>
          <w:rFonts w:ascii="Arial" w:hAnsi="Arial" w:cs="Arial"/>
        </w:rPr>
        <w:t xml:space="preserve"> </w:t>
      </w:r>
      <w:r w:rsidRPr="004625EF">
        <w:rPr>
          <w:rFonts w:ascii="Arial" w:hAnsi="Arial" w:cs="Arial"/>
          <w:shd w:val="clear" w:color="auto" w:fill="FFFFFF"/>
        </w:rPr>
        <w:t>“ Por la cual se expiden normas en materia tributaria y se dictan otras disposiciones”:</w:t>
      </w:r>
    </w:p>
  </w:footnote>
  <w:footnote w:id="4">
    <w:p w14:paraId="4DA74320" w14:textId="556B2721" w:rsidR="00F57113" w:rsidRPr="003470A3" w:rsidRDefault="00F57113" w:rsidP="00AA287C">
      <w:pPr>
        <w:pStyle w:val="Textonotapie"/>
        <w:ind w:right="-568"/>
        <w:jc w:val="both"/>
        <w:rPr>
          <w:rFonts w:ascii="Arial" w:hAnsi="Arial" w:cs="Arial"/>
          <w:sz w:val="18"/>
          <w:szCs w:val="18"/>
        </w:rPr>
      </w:pPr>
      <w:r w:rsidRPr="003470A3">
        <w:rPr>
          <w:rStyle w:val="Refdenotaalpie"/>
          <w:rFonts w:ascii="Arial" w:hAnsi="Arial" w:cs="Arial"/>
          <w:sz w:val="18"/>
          <w:szCs w:val="18"/>
        </w:rPr>
        <w:footnoteRef/>
      </w:r>
      <w:r w:rsidRPr="003470A3">
        <w:rPr>
          <w:rFonts w:ascii="Arial" w:hAnsi="Arial" w:cs="Arial"/>
          <w:sz w:val="18"/>
          <w:szCs w:val="18"/>
        </w:rPr>
        <w:t xml:space="preserve"> </w:t>
      </w:r>
      <w:r w:rsidR="004B4C95">
        <w:rPr>
          <w:rFonts w:ascii="Arial" w:hAnsi="Arial" w:cs="Arial"/>
          <w:sz w:val="18"/>
          <w:szCs w:val="18"/>
        </w:rPr>
        <w:t xml:space="preserve">  </w:t>
      </w:r>
      <w:r w:rsidRPr="003470A3">
        <w:rPr>
          <w:rFonts w:ascii="Arial" w:hAnsi="Arial" w:cs="Arial"/>
          <w:sz w:val="18"/>
          <w:szCs w:val="18"/>
        </w:rPr>
        <w:t xml:space="preserve">Ibid. Ley 1607 de 2012, artículo 20. </w:t>
      </w:r>
    </w:p>
  </w:footnote>
  <w:footnote w:id="5">
    <w:p w14:paraId="56696E0D" w14:textId="77777777" w:rsidR="002B4A0C" w:rsidRPr="004625EF" w:rsidRDefault="002B4A0C" w:rsidP="00AA287C">
      <w:pPr>
        <w:spacing w:after="0" w:line="240" w:lineRule="auto"/>
        <w:ind w:right="-568"/>
        <w:jc w:val="both"/>
        <w:rPr>
          <w:rFonts w:ascii="Arial" w:hAnsi="Arial" w:cs="Arial"/>
          <w:sz w:val="20"/>
          <w:szCs w:val="20"/>
        </w:rPr>
      </w:pPr>
      <w:r>
        <w:rPr>
          <w:rStyle w:val="Refdenotaalpie"/>
        </w:rPr>
        <w:footnoteRef/>
      </w:r>
      <w:r>
        <w:t xml:space="preserve"> </w:t>
      </w:r>
      <w:r w:rsidRPr="004625EF">
        <w:rPr>
          <w:rFonts w:ascii="Arial" w:hAnsi="Arial" w:cs="Arial"/>
          <w:color w:val="333333"/>
          <w:sz w:val="20"/>
          <w:szCs w:val="20"/>
          <w:shd w:val="clear" w:color="auto" w:fill="FFFFFF"/>
        </w:rPr>
        <w:t>Por el cual se adiciona el Decreto Único Reglamentario del Sector Educación para reglamentar los criterios para la asignación y distribución de los recursos para financiar las instituciones de educación superior públicas de que trata el artículo 24 de la Ley 1607 de 2012, modificado por el artículo 72 de la Ley 1739 de 2014, para el periodo gravable 2015, y se deroga una sección en el </w:t>
      </w:r>
      <w:hyperlink r:id="rId2" w:anchor="0" w:history="1">
        <w:r w:rsidRPr="004625EF">
          <w:rPr>
            <w:rStyle w:val="Hipervnculo"/>
            <w:rFonts w:ascii="Arial" w:hAnsi="Arial" w:cs="Arial"/>
            <w:color w:val="007BFF"/>
            <w:sz w:val="20"/>
            <w:szCs w:val="20"/>
          </w:rPr>
          <w:t>Decreto 1068 de 2015</w:t>
        </w:r>
      </w:hyperlink>
      <w:r w:rsidRPr="004625EF">
        <w:rPr>
          <w:rFonts w:ascii="Arial" w:hAnsi="Arial" w:cs="Arial"/>
          <w:color w:val="333333"/>
          <w:sz w:val="20"/>
          <w:szCs w:val="20"/>
          <w:shd w:val="clear" w:color="auto" w:fill="FFFFFF"/>
        </w:rPr>
        <w:t>”</w:t>
      </w:r>
    </w:p>
    <w:p w14:paraId="1FC1241C" w14:textId="25AFDFDC" w:rsidR="002B4A0C" w:rsidRPr="004625EF" w:rsidRDefault="002B4A0C" w:rsidP="00AA287C">
      <w:pPr>
        <w:pStyle w:val="Textonotapie"/>
        <w:ind w:right="-568"/>
        <w:rPr>
          <w:rFonts w:ascii="Arial" w:hAnsi="Arial" w:cs="Arial"/>
          <w:lang w:val="es-CO"/>
        </w:rPr>
      </w:pPr>
    </w:p>
  </w:footnote>
  <w:footnote w:id="6">
    <w:p w14:paraId="0DA15C4A" w14:textId="77777777" w:rsidR="00FB687C" w:rsidRPr="006F5C41" w:rsidRDefault="00FB687C" w:rsidP="00AA287C">
      <w:pPr>
        <w:pStyle w:val="Ttulo"/>
        <w:ind w:right="-568"/>
        <w:jc w:val="both"/>
        <w:rPr>
          <w:b w:val="0"/>
          <w:bCs/>
          <w:sz w:val="20"/>
          <w:szCs w:val="20"/>
        </w:rPr>
      </w:pPr>
      <w:r w:rsidRPr="006F5C41">
        <w:rPr>
          <w:rStyle w:val="Refdenotaalpie"/>
          <w:b w:val="0"/>
          <w:bCs/>
          <w:sz w:val="20"/>
          <w:szCs w:val="20"/>
        </w:rPr>
        <w:footnoteRef/>
      </w:r>
      <w:r w:rsidRPr="006F5C41">
        <w:rPr>
          <w:b w:val="0"/>
          <w:bCs/>
          <w:sz w:val="20"/>
          <w:szCs w:val="20"/>
        </w:rPr>
        <w:t xml:space="preserve"> </w:t>
      </w:r>
      <w:r w:rsidRPr="006F5C41">
        <w:rPr>
          <w:b w:val="0"/>
          <w:bCs/>
          <w:iCs/>
          <w:sz w:val="20"/>
          <w:szCs w:val="20"/>
        </w:rPr>
        <w:t xml:space="preserve">Consejo de Estado. Sección Cuarta. Sentencia del 28 de agosto de 2014. Expediente </w:t>
      </w:r>
      <w:r w:rsidRPr="006F5C41">
        <w:rPr>
          <w:b w:val="0"/>
          <w:bCs/>
          <w:sz w:val="20"/>
          <w:szCs w:val="20"/>
        </w:rPr>
        <w:t xml:space="preserve">11001-03-27-000-2011-00033-00(19105). Consejera ponente Carmen Teresa Ortiz de Rodríguez. </w:t>
      </w:r>
    </w:p>
    <w:p w14:paraId="025E4B58" w14:textId="77777777" w:rsidR="00FB687C" w:rsidRDefault="00FB687C" w:rsidP="00AA287C">
      <w:pPr>
        <w:pStyle w:val="Textonotapie"/>
        <w:ind w:right="-568"/>
      </w:pPr>
    </w:p>
  </w:footnote>
  <w:footnote w:id="7">
    <w:p w14:paraId="693D4E58" w14:textId="71922616" w:rsidR="00B57BA9" w:rsidRPr="004625EF" w:rsidRDefault="00B57BA9" w:rsidP="00AA287C">
      <w:pPr>
        <w:pStyle w:val="Textonotapie"/>
        <w:ind w:right="-568"/>
        <w:jc w:val="both"/>
        <w:rPr>
          <w:rFonts w:ascii="Arial" w:hAnsi="Arial" w:cs="Arial"/>
          <w:sz w:val="18"/>
          <w:szCs w:val="18"/>
          <w:lang w:val="es-CO"/>
        </w:rPr>
      </w:pPr>
      <w:r w:rsidRPr="004625EF">
        <w:rPr>
          <w:rStyle w:val="Refdenotaalpie"/>
          <w:rFonts w:ascii="Arial" w:hAnsi="Arial" w:cs="Arial"/>
          <w:sz w:val="18"/>
          <w:szCs w:val="18"/>
        </w:rPr>
        <w:footnoteRef/>
      </w:r>
      <w:r w:rsidRPr="004625EF">
        <w:rPr>
          <w:rFonts w:ascii="Arial" w:hAnsi="Arial" w:cs="Arial"/>
          <w:sz w:val="18"/>
          <w:szCs w:val="18"/>
        </w:rPr>
        <w:t xml:space="preserve"> ARTÍCULO 2.- DOMICILIO. La Universidad Distrital Francisco José de Caldas, creada mediante Acuerdo </w:t>
      </w:r>
      <w:r w:rsidRPr="004625EF">
        <w:rPr>
          <w:rFonts w:ascii="Arial" w:hAnsi="Arial" w:cs="Arial"/>
          <w:sz w:val="18"/>
          <w:szCs w:val="18"/>
        </w:rPr>
        <w:t xml:space="preserve">Nº 10 de 1948 por el Concejo de Bogotá es un ente universitario autónomo de carácter estatal del orden Distrital de Santa Fe de Bogotá D.C., con Personaría Jurídica, gobierno, rentas y patrimonio propio e independiente, constituido totalmente con bienes o fondos públicos comunes o por el producto de impuestos, tasas o contribuciones y venta de servicios. Su sede de gobierno y domicilio principal es la Ciudad de Santa Fe de Bogotá Distrito Capital, República de Colombia. Las seccionales que se creen tienen su domicilio en las ciudades donde funcionen.  Tomado de: </w:t>
      </w:r>
      <w:hyperlink r:id="rId3" w:anchor=":~:text=La%20Universidad%20Distrital%20Francisco%20Jos%C3%A9%20de%20Caldas%2C%20creada%20mediante%20Acuerdo,propio%20e%20independiente%2C%20constituido%20totalmente" w:history="1">
        <w:r w:rsidRPr="004625EF">
          <w:rPr>
            <w:rStyle w:val="Hipervnculo"/>
            <w:rFonts w:ascii="Arial" w:hAnsi="Arial" w:cs="Arial"/>
            <w:sz w:val="18"/>
            <w:szCs w:val="18"/>
          </w:rPr>
          <w:t>CONTENIDO (udistrital.edu.co)</w:t>
        </w:r>
      </w:hyperlink>
      <w:r w:rsidRPr="004625EF">
        <w:rPr>
          <w:rFonts w:ascii="Arial" w:hAnsi="Arial" w:cs="Arial"/>
          <w:sz w:val="18"/>
          <w:szCs w:val="18"/>
        </w:rPr>
        <w:t xml:space="preserve"> </w:t>
      </w:r>
    </w:p>
  </w:footnote>
  <w:footnote w:id="8">
    <w:p w14:paraId="38023C03" w14:textId="77777777" w:rsidR="00CF7996" w:rsidRPr="00B67D92" w:rsidRDefault="00CF7996" w:rsidP="00AA287C">
      <w:pPr>
        <w:spacing w:after="0" w:line="240" w:lineRule="auto"/>
        <w:ind w:right="-568"/>
        <w:jc w:val="both"/>
        <w:rPr>
          <w:rFonts w:ascii="Arial" w:hAnsi="Arial" w:cs="Arial"/>
          <w:sz w:val="18"/>
          <w:szCs w:val="18"/>
        </w:rPr>
      </w:pPr>
      <w:r w:rsidRPr="00B67D92">
        <w:rPr>
          <w:rFonts w:ascii="Arial" w:hAnsi="Arial" w:cs="Arial"/>
          <w:sz w:val="18"/>
          <w:szCs w:val="18"/>
        </w:rPr>
        <w:footnoteRef/>
      </w:r>
      <w:r w:rsidRPr="00B67D92">
        <w:rPr>
          <w:rFonts w:ascii="Arial" w:hAnsi="Arial" w:cs="Arial"/>
          <w:sz w:val="18"/>
          <w:szCs w:val="18"/>
        </w:rPr>
        <w:t xml:space="preserve"> ARTÍCULO 2º. De la Cobertura del Estatuto. El presente Estatuto consta de dos (2) niveles: Un primer nivel que corresponde al Presupuesto Anual del Distrito Capital que comprende el Presupuesto del Concejo, la Contraloría, la Personería, la Administración Central Distrital y los Establecimientos Públicos Distritales que incluyen a los Entes Autónomos Universitarios.</w:t>
      </w:r>
    </w:p>
    <w:p w14:paraId="48C512EF" w14:textId="77777777" w:rsidR="00CF7996" w:rsidRPr="00B67D92" w:rsidRDefault="00CF7996" w:rsidP="00AA287C">
      <w:pPr>
        <w:pStyle w:val="Textonotapie"/>
        <w:ind w:right="-568"/>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FD" w14:textId="5C977212" w:rsidR="001F59D9" w:rsidRDefault="00FA42B0" w:rsidP="00A17D79">
    <w:pPr>
      <w:pStyle w:val="Encabezado"/>
      <w:tabs>
        <w:tab w:val="clear" w:pos="8504"/>
      </w:tabs>
    </w:pPr>
    <w:r>
      <w:rPr>
        <w:noProof/>
        <w:lang w:val="es-CO"/>
      </w:rPr>
      <w:drawing>
        <wp:anchor distT="0" distB="0" distL="114300" distR="114300" simplePos="0" relativeHeight="251658240" behindDoc="1" locked="0" layoutInCell="1" allowOverlap="1" wp14:anchorId="3FA830EB" wp14:editId="2383C743">
          <wp:simplePos x="0" y="0"/>
          <wp:positionH relativeFrom="column">
            <wp:posOffset>-1285875</wp:posOffset>
          </wp:positionH>
          <wp:positionV relativeFrom="paragraph">
            <wp:posOffset>-514985</wp:posOffset>
          </wp:positionV>
          <wp:extent cx="7729470" cy="1211283"/>
          <wp:effectExtent l="0" t="0" r="0" b="0"/>
          <wp:wrapNone/>
          <wp:docPr id="11" name="Imagen 1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r w:rsidR="00A17D7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2BB"/>
    <w:multiLevelType w:val="hybridMultilevel"/>
    <w:tmpl w:val="3C64567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7A0DB2"/>
    <w:multiLevelType w:val="multilevel"/>
    <w:tmpl w:val="0FC2010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C86D6B"/>
    <w:multiLevelType w:val="hybridMultilevel"/>
    <w:tmpl w:val="35DED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B0"/>
    <w:rsid w:val="000035AA"/>
    <w:rsid w:val="00005BD6"/>
    <w:rsid w:val="00007799"/>
    <w:rsid w:val="000101FB"/>
    <w:rsid w:val="00013800"/>
    <w:rsid w:val="00023200"/>
    <w:rsid w:val="00023390"/>
    <w:rsid w:val="00026235"/>
    <w:rsid w:val="00027CA5"/>
    <w:rsid w:val="00036289"/>
    <w:rsid w:val="00040005"/>
    <w:rsid w:val="00056178"/>
    <w:rsid w:val="000575C8"/>
    <w:rsid w:val="00057810"/>
    <w:rsid w:val="0006030A"/>
    <w:rsid w:val="00062C56"/>
    <w:rsid w:val="0006400F"/>
    <w:rsid w:val="00067F93"/>
    <w:rsid w:val="00070659"/>
    <w:rsid w:val="00075E33"/>
    <w:rsid w:val="000773E4"/>
    <w:rsid w:val="000776A3"/>
    <w:rsid w:val="000845B5"/>
    <w:rsid w:val="00084E31"/>
    <w:rsid w:val="000855B8"/>
    <w:rsid w:val="000976A7"/>
    <w:rsid w:val="000A39FD"/>
    <w:rsid w:val="000A3EF7"/>
    <w:rsid w:val="000A68F8"/>
    <w:rsid w:val="000A6CF0"/>
    <w:rsid w:val="000B0725"/>
    <w:rsid w:val="000B7476"/>
    <w:rsid w:val="000B7613"/>
    <w:rsid w:val="000D1E4F"/>
    <w:rsid w:val="000D1FE2"/>
    <w:rsid w:val="000E2CD0"/>
    <w:rsid w:val="000E471B"/>
    <w:rsid w:val="000E56A7"/>
    <w:rsid w:val="000E7ED4"/>
    <w:rsid w:val="001003E2"/>
    <w:rsid w:val="00100F46"/>
    <w:rsid w:val="00110184"/>
    <w:rsid w:val="001104F3"/>
    <w:rsid w:val="00116421"/>
    <w:rsid w:val="00116D6F"/>
    <w:rsid w:val="00117880"/>
    <w:rsid w:val="00124834"/>
    <w:rsid w:val="001324D6"/>
    <w:rsid w:val="00137102"/>
    <w:rsid w:val="001378C6"/>
    <w:rsid w:val="00150A62"/>
    <w:rsid w:val="00151D15"/>
    <w:rsid w:val="00154CBB"/>
    <w:rsid w:val="00157E41"/>
    <w:rsid w:val="0016093A"/>
    <w:rsid w:val="0016763D"/>
    <w:rsid w:val="00170283"/>
    <w:rsid w:val="00174309"/>
    <w:rsid w:val="001743C0"/>
    <w:rsid w:val="00176848"/>
    <w:rsid w:val="0017765E"/>
    <w:rsid w:val="00180C9D"/>
    <w:rsid w:val="001822FD"/>
    <w:rsid w:val="00184620"/>
    <w:rsid w:val="0018634D"/>
    <w:rsid w:val="001867EC"/>
    <w:rsid w:val="00190BD7"/>
    <w:rsid w:val="00194A67"/>
    <w:rsid w:val="00194CDC"/>
    <w:rsid w:val="001A0382"/>
    <w:rsid w:val="001A087F"/>
    <w:rsid w:val="001A127E"/>
    <w:rsid w:val="001A2FC4"/>
    <w:rsid w:val="001A7969"/>
    <w:rsid w:val="001A7B51"/>
    <w:rsid w:val="001B0424"/>
    <w:rsid w:val="001B531F"/>
    <w:rsid w:val="001B54B1"/>
    <w:rsid w:val="001C3CE5"/>
    <w:rsid w:val="001C5748"/>
    <w:rsid w:val="001C7447"/>
    <w:rsid w:val="001D0022"/>
    <w:rsid w:val="001D0DFC"/>
    <w:rsid w:val="001D3856"/>
    <w:rsid w:val="001D66D1"/>
    <w:rsid w:val="001F0683"/>
    <w:rsid w:val="001F1A9F"/>
    <w:rsid w:val="001F4CBB"/>
    <w:rsid w:val="001F5608"/>
    <w:rsid w:val="001F658D"/>
    <w:rsid w:val="00202E77"/>
    <w:rsid w:val="00206E12"/>
    <w:rsid w:val="00220A06"/>
    <w:rsid w:val="002228A1"/>
    <w:rsid w:val="0022348D"/>
    <w:rsid w:val="00225255"/>
    <w:rsid w:val="00231781"/>
    <w:rsid w:val="00233EE7"/>
    <w:rsid w:val="00236B6F"/>
    <w:rsid w:val="00243252"/>
    <w:rsid w:val="00244246"/>
    <w:rsid w:val="0024482C"/>
    <w:rsid w:val="002465D8"/>
    <w:rsid w:val="002471ED"/>
    <w:rsid w:val="00254D11"/>
    <w:rsid w:val="0026140F"/>
    <w:rsid w:val="00261FC6"/>
    <w:rsid w:val="00264E7F"/>
    <w:rsid w:val="00271F69"/>
    <w:rsid w:val="00272E11"/>
    <w:rsid w:val="002737C7"/>
    <w:rsid w:val="00274867"/>
    <w:rsid w:val="002757C0"/>
    <w:rsid w:val="002763A8"/>
    <w:rsid w:val="00277E2F"/>
    <w:rsid w:val="0028411B"/>
    <w:rsid w:val="00286B4D"/>
    <w:rsid w:val="00294056"/>
    <w:rsid w:val="002A031F"/>
    <w:rsid w:val="002A60DA"/>
    <w:rsid w:val="002B0D6E"/>
    <w:rsid w:val="002B4A0C"/>
    <w:rsid w:val="002B6001"/>
    <w:rsid w:val="002B639F"/>
    <w:rsid w:val="002B7EDE"/>
    <w:rsid w:val="002C0694"/>
    <w:rsid w:val="002C2F14"/>
    <w:rsid w:val="002C456B"/>
    <w:rsid w:val="002D6C83"/>
    <w:rsid w:val="002E6F26"/>
    <w:rsid w:val="00303CF5"/>
    <w:rsid w:val="00304B7B"/>
    <w:rsid w:val="003217BB"/>
    <w:rsid w:val="003236F4"/>
    <w:rsid w:val="0032651B"/>
    <w:rsid w:val="00332126"/>
    <w:rsid w:val="003377C3"/>
    <w:rsid w:val="003420DD"/>
    <w:rsid w:val="00342F30"/>
    <w:rsid w:val="0034643C"/>
    <w:rsid w:val="003470A3"/>
    <w:rsid w:val="00350E8C"/>
    <w:rsid w:val="00353372"/>
    <w:rsid w:val="0035570A"/>
    <w:rsid w:val="003558E9"/>
    <w:rsid w:val="00355CBB"/>
    <w:rsid w:val="00360E65"/>
    <w:rsid w:val="0036563B"/>
    <w:rsid w:val="003713BD"/>
    <w:rsid w:val="00371565"/>
    <w:rsid w:val="003752A3"/>
    <w:rsid w:val="00387CD6"/>
    <w:rsid w:val="003A30B7"/>
    <w:rsid w:val="003A3EAC"/>
    <w:rsid w:val="003A657B"/>
    <w:rsid w:val="003B6C0E"/>
    <w:rsid w:val="003C3285"/>
    <w:rsid w:val="003D2E2A"/>
    <w:rsid w:val="003D34B1"/>
    <w:rsid w:val="003D3D64"/>
    <w:rsid w:val="003D621A"/>
    <w:rsid w:val="003D6999"/>
    <w:rsid w:val="003E1D7D"/>
    <w:rsid w:val="003E206F"/>
    <w:rsid w:val="003E4E66"/>
    <w:rsid w:val="003E54B9"/>
    <w:rsid w:val="003F08EB"/>
    <w:rsid w:val="003F26DE"/>
    <w:rsid w:val="003F4885"/>
    <w:rsid w:val="003F4A04"/>
    <w:rsid w:val="0040501D"/>
    <w:rsid w:val="00406833"/>
    <w:rsid w:val="004174CB"/>
    <w:rsid w:val="004205C7"/>
    <w:rsid w:val="00431D09"/>
    <w:rsid w:val="00436327"/>
    <w:rsid w:val="00442BB6"/>
    <w:rsid w:val="00450F10"/>
    <w:rsid w:val="00452EC3"/>
    <w:rsid w:val="00454BD3"/>
    <w:rsid w:val="004575ED"/>
    <w:rsid w:val="004625EF"/>
    <w:rsid w:val="00471734"/>
    <w:rsid w:val="00475755"/>
    <w:rsid w:val="00476137"/>
    <w:rsid w:val="004834D5"/>
    <w:rsid w:val="004864AF"/>
    <w:rsid w:val="0049030F"/>
    <w:rsid w:val="004A0A47"/>
    <w:rsid w:val="004A1F4A"/>
    <w:rsid w:val="004A50FA"/>
    <w:rsid w:val="004A556C"/>
    <w:rsid w:val="004B04C9"/>
    <w:rsid w:val="004B27E3"/>
    <w:rsid w:val="004B3A93"/>
    <w:rsid w:val="004B4C95"/>
    <w:rsid w:val="004B6AC4"/>
    <w:rsid w:val="004C2B58"/>
    <w:rsid w:val="004C3549"/>
    <w:rsid w:val="004D1191"/>
    <w:rsid w:val="004D764C"/>
    <w:rsid w:val="004E4F24"/>
    <w:rsid w:val="004E691B"/>
    <w:rsid w:val="004F441A"/>
    <w:rsid w:val="004F6C21"/>
    <w:rsid w:val="0050240B"/>
    <w:rsid w:val="005060FF"/>
    <w:rsid w:val="00510F4F"/>
    <w:rsid w:val="005111B2"/>
    <w:rsid w:val="00511AE6"/>
    <w:rsid w:val="00513763"/>
    <w:rsid w:val="0051707D"/>
    <w:rsid w:val="00520101"/>
    <w:rsid w:val="005202B0"/>
    <w:rsid w:val="00520E9A"/>
    <w:rsid w:val="00522279"/>
    <w:rsid w:val="00524B3B"/>
    <w:rsid w:val="00526827"/>
    <w:rsid w:val="00527846"/>
    <w:rsid w:val="0053108F"/>
    <w:rsid w:val="00532C82"/>
    <w:rsid w:val="00533217"/>
    <w:rsid w:val="00533307"/>
    <w:rsid w:val="0053407D"/>
    <w:rsid w:val="00537DF2"/>
    <w:rsid w:val="00541271"/>
    <w:rsid w:val="00543C96"/>
    <w:rsid w:val="00544B1D"/>
    <w:rsid w:val="005457AC"/>
    <w:rsid w:val="005468A9"/>
    <w:rsid w:val="005523C9"/>
    <w:rsid w:val="00557568"/>
    <w:rsid w:val="00560A5F"/>
    <w:rsid w:val="00561966"/>
    <w:rsid w:val="0056350F"/>
    <w:rsid w:val="00563ABE"/>
    <w:rsid w:val="00563B23"/>
    <w:rsid w:val="00567F27"/>
    <w:rsid w:val="0057507C"/>
    <w:rsid w:val="00577083"/>
    <w:rsid w:val="00580A9E"/>
    <w:rsid w:val="00580F1A"/>
    <w:rsid w:val="00581DC3"/>
    <w:rsid w:val="00585637"/>
    <w:rsid w:val="00596F66"/>
    <w:rsid w:val="005A01D3"/>
    <w:rsid w:val="005A2A9D"/>
    <w:rsid w:val="005A7235"/>
    <w:rsid w:val="005B4910"/>
    <w:rsid w:val="005C1215"/>
    <w:rsid w:val="005C2EB9"/>
    <w:rsid w:val="005D0249"/>
    <w:rsid w:val="005D4346"/>
    <w:rsid w:val="005E3B0D"/>
    <w:rsid w:val="005E5513"/>
    <w:rsid w:val="005E6148"/>
    <w:rsid w:val="005F2206"/>
    <w:rsid w:val="005F249F"/>
    <w:rsid w:val="005F375E"/>
    <w:rsid w:val="005F685F"/>
    <w:rsid w:val="00600BA8"/>
    <w:rsid w:val="0060135C"/>
    <w:rsid w:val="006052C8"/>
    <w:rsid w:val="006117FF"/>
    <w:rsid w:val="00624C2F"/>
    <w:rsid w:val="006261CA"/>
    <w:rsid w:val="006262D0"/>
    <w:rsid w:val="006332D9"/>
    <w:rsid w:val="00637FC0"/>
    <w:rsid w:val="006408BB"/>
    <w:rsid w:val="006434A7"/>
    <w:rsid w:val="0064481D"/>
    <w:rsid w:val="00651602"/>
    <w:rsid w:val="00653E1B"/>
    <w:rsid w:val="00654C15"/>
    <w:rsid w:val="00661C39"/>
    <w:rsid w:val="00664FFC"/>
    <w:rsid w:val="00670190"/>
    <w:rsid w:val="006703FD"/>
    <w:rsid w:val="0067111F"/>
    <w:rsid w:val="00673AC0"/>
    <w:rsid w:val="00673EB1"/>
    <w:rsid w:val="00677706"/>
    <w:rsid w:val="00680357"/>
    <w:rsid w:val="00682651"/>
    <w:rsid w:val="0068317A"/>
    <w:rsid w:val="006851DA"/>
    <w:rsid w:val="006857CA"/>
    <w:rsid w:val="0069037F"/>
    <w:rsid w:val="006903BD"/>
    <w:rsid w:val="0069498A"/>
    <w:rsid w:val="00697136"/>
    <w:rsid w:val="006A1AF4"/>
    <w:rsid w:val="006A2958"/>
    <w:rsid w:val="006A3A8A"/>
    <w:rsid w:val="006B2FF6"/>
    <w:rsid w:val="006B426B"/>
    <w:rsid w:val="006C1DD8"/>
    <w:rsid w:val="006C3674"/>
    <w:rsid w:val="006D0395"/>
    <w:rsid w:val="006E2BE2"/>
    <w:rsid w:val="006E678B"/>
    <w:rsid w:val="006F737F"/>
    <w:rsid w:val="006F763D"/>
    <w:rsid w:val="00701632"/>
    <w:rsid w:val="007024FF"/>
    <w:rsid w:val="007047E7"/>
    <w:rsid w:val="007101A1"/>
    <w:rsid w:val="007115E9"/>
    <w:rsid w:val="00715158"/>
    <w:rsid w:val="007152E0"/>
    <w:rsid w:val="007163CD"/>
    <w:rsid w:val="007177BF"/>
    <w:rsid w:val="00717C51"/>
    <w:rsid w:val="00720519"/>
    <w:rsid w:val="00721BC8"/>
    <w:rsid w:val="007272D4"/>
    <w:rsid w:val="007307AD"/>
    <w:rsid w:val="007400F3"/>
    <w:rsid w:val="00742A36"/>
    <w:rsid w:val="0074561F"/>
    <w:rsid w:val="0074684C"/>
    <w:rsid w:val="00751312"/>
    <w:rsid w:val="00752813"/>
    <w:rsid w:val="00762816"/>
    <w:rsid w:val="00764B5E"/>
    <w:rsid w:val="007719D9"/>
    <w:rsid w:val="00771FBE"/>
    <w:rsid w:val="00781C00"/>
    <w:rsid w:val="007929CC"/>
    <w:rsid w:val="00794967"/>
    <w:rsid w:val="00794A72"/>
    <w:rsid w:val="007A748D"/>
    <w:rsid w:val="007B1FC6"/>
    <w:rsid w:val="007B41FE"/>
    <w:rsid w:val="007B45F5"/>
    <w:rsid w:val="007B6604"/>
    <w:rsid w:val="007C6181"/>
    <w:rsid w:val="007C6FBA"/>
    <w:rsid w:val="007C739F"/>
    <w:rsid w:val="007D5171"/>
    <w:rsid w:val="007F4DBD"/>
    <w:rsid w:val="007F7E5C"/>
    <w:rsid w:val="0080057B"/>
    <w:rsid w:val="00801692"/>
    <w:rsid w:val="00805376"/>
    <w:rsid w:val="00806631"/>
    <w:rsid w:val="00806F68"/>
    <w:rsid w:val="00812B0B"/>
    <w:rsid w:val="00812EA4"/>
    <w:rsid w:val="00817471"/>
    <w:rsid w:val="00817E45"/>
    <w:rsid w:val="008259BD"/>
    <w:rsid w:val="0082651C"/>
    <w:rsid w:val="00835E0D"/>
    <w:rsid w:val="00840972"/>
    <w:rsid w:val="0084220B"/>
    <w:rsid w:val="008466A3"/>
    <w:rsid w:val="008478E0"/>
    <w:rsid w:val="008509B2"/>
    <w:rsid w:val="00850DF6"/>
    <w:rsid w:val="008546ED"/>
    <w:rsid w:val="00856498"/>
    <w:rsid w:val="00874B48"/>
    <w:rsid w:val="008937AF"/>
    <w:rsid w:val="008A0C96"/>
    <w:rsid w:val="008A740C"/>
    <w:rsid w:val="008D1271"/>
    <w:rsid w:val="008D1E64"/>
    <w:rsid w:val="008D3AD7"/>
    <w:rsid w:val="008D7F70"/>
    <w:rsid w:val="008E396A"/>
    <w:rsid w:val="008E3D4E"/>
    <w:rsid w:val="008F1350"/>
    <w:rsid w:val="008F1B21"/>
    <w:rsid w:val="008F296A"/>
    <w:rsid w:val="008F633A"/>
    <w:rsid w:val="00902BD9"/>
    <w:rsid w:val="00904225"/>
    <w:rsid w:val="00905B82"/>
    <w:rsid w:val="00907EF0"/>
    <w:rsid w:val="00910264"/>
    <w:rsid w:val="00913DCA"/>
    <w:rsid w:val="0091476A"/>
    <w:rsid w:val="00914E06"/>
    <w:rsid w:val="009169D1"/>
    <w:rsid w:val="00921223"/>
    <w:rsid w:val="009253D1"/>
    <w:rsid w:val="00936A0B"/>
    <w:rsid w:val="009443FC"/>
    <w:rsid w:val="009444F6"/>
    <w:rsid w:val="009460D6"/>
    <w:rsid w:val="00946F1B"/>
    <w:rsid w:val="00953CCB"/>
    <w:rsid w:val="00956D97"/>
    <w:rsid w:val="00956F69"/>
    <w:rsid w:val="00957210"/>
    <w:rsid w:val="00960335"/>
    <w:rsid w:val="00961715"/>
    <w:rsid w:val="00962E56"/>
    <w:rsid w:val="00967FBE"/>
    <w:rsid w:val="00971617"/>
    <w:rsid w:val="00974F77"/>
    <w:rsid w:val="00976D46"/>
    <w:rsid w:val="0098493C"/>
    <w:rsid w:val="00985285"/>
    <w:rsid w:val="00993A93"/>
    <w:rsid w:val="00994EC8"/>
    <w:rsid w:val="009A1CD9"/>
    <w:rsid w:val="009A3D26"/>
    <w:rsid w:val="009A4DEA"/>
    <w:rsid w:val="009A54E3"/>
    <w:rsid w:val="009A594E"/>
    <w:rsid w:val="009B1437"/>
    <w:rsid w:val="009B52E2"/>
    <w:rsid w:val="009C1141"/>
    <w:rsid w:val="009C5F1B"/>
    <w:rsid w:val="009D1101"/>
    <w:rsid w:val="009D38EC"/>
    <w:rsid w:val="009D74AF"/>
    <w:rsid w:val="009E0236"/>
    <w:rsid w:val="009E19DB"/>
    <w:rsid w:val="009E1FF4"/>
    <w:rsid w:val="009E26EC"/>
    <w:rsid w:val="009E44CD"/>
    <w:rsid w:val="009E500E"/>
    <w:rsid w:val="009F18A7"/>
    <w:rsid w:val="009F4AC2"/>
    <w:rsid w:val="009F5311"/>
    <w:rsid w:val="009F6001"/>
    <w:rsid w:val="00A02156"/>
    <w:rsid w:val="00A03BB5"/>
    <w:rsid w:val="00A06357"/>
    <w:rsid w:val="00A07D26"/>
    <w:rsid w:val="00A10315"/>
    <w:rsid w:val="00A1375E"/>
    <w:rsid w:val="00A17D79"/>
    <w:rsid w:val="00A20935"/>
    <w:rsid w:val="00A2704C"/>
    <w:rsid w:val="00A30505"/>
    <w:rsid w:val="00A3119F"/>
    <w:rsid w:val="00A32577"/>
    <w:rsid w:val="00A3604D"/>
    <w:rsid w:val="00A41AA5"/>
    <w:rsid w:val="00A42A47"/>
    <w:rsid w:val="00A469BF"/>
    <w:rsid w:val="00A47EF6"/>
    <w:rsid w:val="00A50EB9"/>
    <w:rsid w:val="00A557CC"/>
    <w:rsid w:val="00A577D8"/>
    <w:rsid w:val="00A60195"/>
    <w:rsid w:val="00A62C09"/>
    <w:rsid w:val="00A7395E"/>
    <w:rsid w:val="00A76BC1"/>
    <w:rsid w:val="00A76E5F"/>
    <w:rsid w:val="00A80AFA"/>
    <w:rsid w:val="00A9054D"/>
    <w:rsid w:val="00A94AFA"/>
    <w:rsid w:val="00A97EDD"/>
    <w:rsid w:val="00AA287C"/>
    <w:rsid w:val="00AA441B"/>
    <w:rsid w:val="00AA476A"/>
    <w:rsid w:val="00AA515A"/>
    <w:rsid w:val="00AB0221"/>
    <w:rsid w:val="00AB2DE7"/>
    <w:rsid w:val="00AC6704"/>
    <w:rsid w:val="00AC6C53"/>
    <w:rsid w:val="00AC70BE"/>
    <w:rsid w:val="00AC764E"/>
    <w:rsid w:val="00AC7763"/>
    <w:rsid w:val="00AD0449"/>
    <w:rsid w:val="00AD0CE3"/>
    <w:rsid w:val="00AD1C58"/>
    <w:rsid w:val="00AD4480"/>
    <w:rsid w:val="00AD578C"/>
    <w:rsid w:val="00AD744D"/>
    <w:rsid w:val="00AE0F50"/>
    <w:rsid w:val="00AE4C86"/>
    <w:rsid w:val="00AE6329"/>
    <w:rsid w:val="00AE6A8E"/>
    <w:rsid w:val="00AE6F37"/>
    <w:rsid w:val="00AF085A"/>
    <w:rsid w:val="00AF4743"/>
    <w:rsid w:val="00AF493F"/>
    <w:rsid w:val="00AF6E0A"/>
    <w:rsid w:val="00AF703B"/>
    <w:rsid w:val="00B022F7"/>
    <w:rsid w:val="00B034E5"/>
    <w:rsid w:val="00B153A8"/>
    <w:rsid w:val="00B232E5"/>
    <w:rsid w:val="00B24B9B"/>
    <w:rsid w:val="00B25175"/>
    <w:rsid w:val="00B2692E"/>
    <w:rsid w:val="00B27471"/>
    <w:rsid w:val="00B31109"/>
    <w:rsid w:val="00B3701E"/>
    <w:rsid w:val="00B3722B"/>
    <w:rsid w:val="00B40728"/>
    <w:rsid w:val="00B42629"/>
    <w:rsid w:val="00B476F5"/>
    <w:rsid w:val="00B51A0A"/>
    <w:rsid w:val="00B53E88"/>
    <w:rsid w:val="00B5663B"/>
    <w:rsid w:val="00B57BA9"/>
    <w:rsid w:val="00B64D62"/>
    <w:rsid w:val="00B70D9D"/>
    <w:rsid w:val="00B7287F"/>
    <w:rsid w:val="00B73283"/>
    <w:rsid w:val="00B739F6"/>
    <w:rsid w:val="00B77C7E"/>
    <w:rsid w:val="00B8108D"/>
    <w:rsid w:val="00B97B41"/>
    <w:rsid w:val="00BA044E"/>
    <w:rsid w:val="00BA2611"/>
    <w:rsid w:val="00BA761F"/>
    <w:rsid w:val="00BB166D"/>
    <w:rsid w:val="00BC1C9B"/>
    <w:rsid w:val="00BC4612"/>
    <w:rsid w:val="00BC4932"/>
    <w:rsid w:val="00BC4F53"/>
    <w:rsid w:val="00BC5EB6"/>
    <w:rsid w:val="00BD22F2"/>
    <w:rsid w:val="00BD4566"/>
    <w:rsid w:val="00BD4A00"/>
    <w:rsid w:val="00BD58F6"/>
    <w:rsid w:val="00BD68A9"/>
    <w:rsid w:val="00BE1E3E"/>
    <w:rsid w:val="00BE3BAA"/>
    <w:rsid w:val="00BF0BB9"/>
    <w:rsid w:val="00C00712"/>
    <w:rsid w:val="00C00918"/>
    <w:rsid w:val="00C10343"/>
    <w:rsid w:val="00C1085C"/>
    <w:rsid w:val="00C16B7F"/>
    <w:rsid w:val="00C215BF"/>
    <w:rsid w:val="00C27AEB"/>
    <w:rsid w:val="00C36C84"/>
    <w:rsid w:val="00C40B73"/>
    <w:rsid w:val="00C44FE4"/>
    <w:rsid w:val="00C57314"/>
    <w:rsid w:val="00C600B0"/>
    <w:rsid w:val="00C60279"/>
    <w:rsid w:val="00C62BA3"/>
    <w:rsid w:val="00C655B9"/>
    <w:rsid w:val="00C72795"/>
    <w:rsid w:val="00C73723"/>
    <w:rsid w:val="00C75245"/>
    <w:rsid w:val="00C77091"/>
    <w:rsid w:val="00C821E7"/>
    <w:rsid w:val="00C8236E"/>
    <w:rsid w:val="00C84332"/>
    <w:rsid w:val="00C8623F"/>
    <w:rsid w:val="00C86400"/>
    <w:rsid w:val="00C875BE"/>
    <w:rsid w:val="00C91D46"/>
    <w:rsid w:val="00C921DE"/>
    <w:rsid w:val="00C92732"/>
    <w:rsid w:val="00C94FDD"/>
    <w:rsid w:val="00C95CFA"/>
    <w:rsid w:val="00C970FC"/>
    <w:rsid w:val="00CA04B3"/>
    <w:rsid w:val="00CA2C05"/>
    <w:rsid w:val="00CA44AE"/>
    <w:rsid w:val="00CA4E99"/>
    <w:rsid w:val="00CB0D89"/>
    <w:rsid w:val="00CB4F36"/>
    <w:rsid w:val="00CB50EE"/>
    <w:rsid w:val="00CB684C"/>
    <w:rsid w:val="00CB6D16"/>
    <w:rsid w:val="00CC334F"/>
    <w:rsid w:val="00CC35DE"/>
    <w:rsid w:val="00CC3DE1"/>
    <w:rsid w:val="00CC4FB5"/>
    <w:rsid w:val="00CC74F3"/>
    <w:rsid w:val="00CD594D"/>
    <w:rsid w:val="00CE168A"/>
    <w:rsid w:val="00CE1A59"/>
    <w:rsid w:val="00CF7996"/>
    <w:rsid w:val="00D032FE"/>
    <w:rsid w:val="00D03D5E"/>
    <w:rsid w:val="00D13151"/>
    <w:rsid w:val="00D146CC"/>
    <w:rsid w:val="00D15FC2"/>
    <w:rsid w:val="00D17AEE"/>
    <w:rsid w:val="00D225F7"/>
    <w:rsid w:val="00D24759"/>
    <w:rsid w:val="00D306B1"/>
    <w:rsid w:val="00D32BB4"/>
    <w:rsid w:val="00D34FF4"/>
    <w:rsid w:val="00D36395"/>
    <w:rsid w:val="00D365AE"/>
    <w:rsid w:val="00D367DE"/>
    <w:rsid w:val="00D4440A"/>
    <w:rsid w:val="00D61CE0"/>
    <w:rsid w:val="00D64F90"/>
    <w:rsid w:val="00D66C2F"/>
    <w:rsid w:val="00D713C2"/>
    <w:rsid w:val="00D77C95"/>
    <w:rsid w:val="00D87B1C"/>
    <w:rsid w:val="00D91DB6"/>
    <w:rsid w:val="00D9340F"/>
    <w:rsid w:val="00DA03FC"/>
    <w:rsid w:val="00DA0875"/>
    <w:rsid w:val="00DA2FEB"/>
    <w:rsid w:val="00DB66E7"/>
    <w:rsid w:val="00DC270C"/>
    <w:rsid w:val="00DC40FA"/>
    <w:rsid w:val="00DE0F6C"/>
    <w:rsid w:val="00DE5B41"/>
    <w:rsid w:val="00DE6EE9"/>
    <w:rsid w:val="00DF13DD"/>
    <w:rsid w:val="00DF65CC"/>
    <w:rsid w:val="00DF6D2A"/>
    <w:rsid w:val="00E05A23"/>
    <w:rsid w:val="00E07264"/>
    <w:rsid w:val="00E13634"/>
    <w:rsid w:val="00E137F9"/>
    <w:rsid w:val="00E13994"/>
    <w:rsid w:val="00E23529"/>
    <w:rsid w:val="00E2626C"/>
    <w:rsid w:val="00E329F4"/>
    <w:rsid w:val="00E33241"/>
    <w:rsid w:val="00E33A2C"/>
    <w:rsid w:val="00E35257"/>
    <w:rsid w:val="00E36365"/>
    <w:rsid w:val="00E452A9"/>
    <w:rsid w:val="00E52764"/>
    <w:rsid w:val="00E54CA5"/>
    <w:rsid w:val="00E55A30"/>
    <w:rsid w:val="00E57632"/>
    <w:rsid w:val="00E616D6"/>
    <w:rsid w:val="00E63867"/>
    <w:rsid w:val="00E64030"/>
    <w:rsid w:val="00E70405"/>
    <w:rsid w:val="00E706B0"/>
    <w:rsid w:val="00E70AB8"/>
    <w:rsid w:val="00E70EC2"/>
    <w:rsid w:val="00E73BFD"/>
    <w:rsid w:val="00E744D9"/>
    <w:rsid w:val="00E81977"/>
    <w:rsid w:val="00E87D55"/>
    <w:rsid w:val="00E9075D"/>
    <w:rsid w:val="00E90DAB"/>
    <w:rsid w:val="00E94A0F"/>
    <w:rsid w:val="00E97F99"/>
    <w:rsid w:val="00EA69D2"/>
    <w:rsid w:val="00EB63E9"/>
    <w:rsid w:val="00EB70C8"/>
    <w:rsid w:val="00EC57B9"/>
    <w:rsid w:val="00ED2F97"/>
    <w:rsid w:val="00ED7127"/>
    <w:rsid w:val="00EE2DD5"/>
    <w:rsid w:val="00EE5D75"/>
    <w:rsid w:val="00EF08C2"/>
    <w:rsid w:val="00EF0AA0"/>
    <w:rsid w:val="00EF58E1"/>
    <w:rsid w:val="00F052FA"/>
    <w:rsid w:val="00F131D3"/>
    <w:rsid w:val="00F14F00"/>
    <w:rsid w:val="00F16CC1"/>
    <w:rsid w:val="00F20BA5"/>
    <w:rsid w:val="00F20DA9"/>
    <w:rsid w:val="00F2356A"/>
    <w:rsid w:val="00F23AD1"/>
    <w:rsid w:val="00F3148E"/>
    <w:rsid w:val="00F3169C"/>
    <w:rsid w:val="00F36C7D"/>
    <w:rsid w:val="00F406DA"/>
    <w:rsid w:val="00F43538"/>
    <w:rsid w:val="00F50E3C"/>
    <w:rsid w:val="00F51134"/>
    <w:rsid w:val="00F52556"/>
    <w:rsid w:val="00F57113"/>
    <w:rsid w:val="00F57376"/>
    <w:rsid w:val="00F574B3"/>
    <w:rsid w:val="00F575DB"/>
    <w:rsid w:val="00F6181D"/>
    <w:rsid w:val="00F62D42"/>
    <w:rsid w:val="00F6369C"/>
    <w:rsid w:val="00F67168"/>
    <w:rsid w:val="00F77FC6"/>
    <w:rsid w:val="00F814EF"/>
    <w:rsid w:val="00F858B4"/>
    <w:rsid w:val="00F860B7"/>
    <w:rsid w:val="00F8619A"/>
    <w:rsid w:val="00F865F9"/>
    <w:rsid w:val="00F91547"/>
    <w:rsid w:val="00F9180E"/>
    <w:rsid w:val="00F96197"/>
    <w:rsid w:val="00FA42B0"/>
    <w:rsid w:val="00FA6426"/>
    <w:rsid w:val="00FB3912"/>
    <w:rsid w:val="00FB687C"/>
    <w:rsid w:val="00FC5D6E"/>
    <w:rsid w:val="00FC7C6D"/>
    <w:rsid w:val="00FD21DA"/>
    <w:rsid w:val="00FD322B"/>
    <w:rsid w:val="00FD466B"/>
    <w:rsid w:val="00FD4AD6"/>
    <w:rsid w:val="00FD6EFC"/>
    <w:rsid w:val="00FD6FBD"/>
    <w:rsid w:val="00FE1A5D"/>
    <w:rsid w:val="00FE1E9E"/>
    <w:rsid w:val="00FE69D8"/>
    <w:rsid w:val="00FF02FA"/>
    <w:rsid w:val="00FF3DB8"/>
    <w:rsid w:val="00FF5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rsid w:val="007307AD"/>
    <w:rPr>
      <w:sz w:val="20"/>
      <w:szCs w:val="20"/>
    </w:r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basedOn w:val="Fuentedeprrafopredeter"/>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styleId="Nmerodepgina">
    <w:name w:val="page number"/>
    <w:basedOn w:val="Fuentedeprrafopredeter"/>
    <w:uiPriority w:val="99"/>
    <w:unhideWhenUsed/>
    <w:rsid w:val="00563B23"/>
  </w:style>
  <w:style w:type="character" w:styleId="Mencinsinresolver">
    <w:name w:val="Unresolved Mention"/>
    <w:basedOn w:val="Fuentedeprrafopredeter"/>
    <w:uiPriority w:val="99"/>
    <w:semiHidden/>
    <w:unhideWhenUsed/>
    <w:rsid w:val="004B6AC4"/>
    <w:rPr>
      <w:color w:val="605E5C"/>
      <w:shd w:val="clear" w:color="auto" w:fill="E1DFDD"/>
    </w:rPr>
  </w:style>
  <w:style w:type="paragraph" w:styleId="NormalWeb">
    <w:name w:val="Normal (Web)"/>
    <w:basedOn w:val="Normal"/>
    <w:uiPriority w:val="99"/>
    <w:unhideWhenUsed/>
    <w:rsid w:val="005E61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6052C8"/>
    <w:pPr>
      <w:spacing w:after="0" w:line="240" w:lineRule="auto"/>
    </w:pPr>
  </w:style>
  <w:style w:type="character" w:customStyle="1" w:styleId="baj">
    <w:name w:val="b_aj"/>
    <w:basedOn w:val="Fuentedeprrafopredeter"/>
    <w:rsid w:val="00F2356A"/>
  </w:style>
  <w:style w:type="character" w:styleId="Textoennegrita">
    <w:name w:val="Strong"/>
    <w:basedOn w:val="Fuentedeprrafopredeter"/>
    <w:uiPriority w:val="22"/>
    <w:qFormat/>
    <w:rsid w:val="00AC764E"/>
    <w:rPr>
      <w:b/>
      <w:bCs/>
    </w:rPr>
  </w:style>
  <w:style w:type="character" w:styleId="nfasis">
    <w:name w:val="Emphasis"/>
    <w:basedOn w:val="Fuentedeprrafopredeter"/>
    <w:uiPriority w:val="20"/>
    <w:qFormat/>
    <w:rsid w:val="00AC764E"/>
    <w:rPr>
      <w:i/>
      <w:iCs/>
    </w:rPr>
  </w:style>
  <w:style w:type="paragraph" w:styleId="Prrafodelista">
    <w:name w:val="List Paragraph"/>
    <w:basedOn w:val="Normal"/>
    <w:uiPriority w:val="34"/>
    <w:qFormat/>
    <w:rsid w:val="00FB687C"/>
    <w:pPr>
      <w:spacing w:after="0" w:line="240" w:lineRule="auto"/>
      <w:ind w:left="720"/>
      <w:contextualSpacing/>
    </w:pPr>
    <w:rPr>
      <w:rFonts w:ascii="Calibri" w:eastAsia="Times New Roman" w:hAnsi="Calibri" w:cs="Times New Roman"/>
      <w:sz w:val="24"/>
      <w:szCs w:val="24"/>
      <w:lang w:val="es-CO"/>
    </w:rPr>
  </w:style>
  <w:style w:type="paragraph" w:styleId="Ttulo">
    <w:name w:val="Title"/>
    <w:basedOn w:val="Normal"/>
    <w:link w:val="TtuloCar"/>
    <w:qFormat/>
    <w:rsid w:val="00FB687C"/>
    <w:pPr>
      <w:spacing w:after="0" w:line="24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FB687C"/>
    <w:rPr>
      <w:rFonts w:ascii="Arial" w:eastAsia="Times New Roman" w:hAnsi="Arial" w:cs="Arial"/>
      <w:b/>
      <w:sz w:val="24"/>
      <w:szCs w:val="24"/>
      <w:lang w:eastAsia="es-ES"/>
    </w:rPr>
  </w:style>
  <w:style w:type="paragraph" w:customStyle="1" w:styleId="rtecenter">
    <w:name w:val="rtecenter"/>
    <w:basedOn w:val="Normal"/>
    <w:rsid w:val="00721B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B5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92954355">
      <w:bodyDiv w:val="1"/>
      <w:marLeft w:val="0"/>
      <w:marRight w:val="0"/>
      <w:marTop w:val="0"/>
      <w:marBottom w:val="0"/>
      <w:divBdr>
        <w:top w:val="none" w:sz="0" w:space="0" w:color="auto"/>
        <w:left w:val="none" w:sz="0" w:space="0" w:color="auto"/>
        <w:bottom w:val="none" w:sz="0" w:space="0" w:color="auto"/>
        <w:right w:val="none" w:sz="0" w:space="0" w:color="auto"/>
      </w:divBdr>
    </w:div>
    <w:div w:id="419639368">
      <w:bodyDiv w:val="1"/>
      <w:marLeft w:val="0"/>
      <w:marRight w:val="0"/>
      <w:marTop w:val="0"/>
      <w:marBottom w:val="0"/>
      <w:divBdr>
        <w:top w:val="none" w:sz="0" w:space="0" w:color="auto"/>
        <w:left w:val="none" w:sz="0" w:space="0" w:color="auto"/>
        <w:bottom w:val="none" w:sz="0" w:space="0" w:color="auto"/>
        <w:right w:val="none" w:sz="0" w:space="0" w:color="auto"/>
      </w:divBdr>
    </w:div>
    <w:div w:id="440340925">
      <w:bodyDiv w:val="1"/>
      <w:marLeft w:val="0"/>
      <w:marRight w:val="0"/>
      <w:marTop w:val="0"/>
      <w:marBottom w:val="0"/>
      <w:divBdr>
        <w:top w:val="none" w:sz="0" w:space="0" w:color="auto"/>
        <w:left w:val="none" w:sz="0" w:space="0" w:color="auto"/>
        <w:bottom w:val="none" w:sz="0" w:space="0" w:color="auto"/>
        <w:right w:val="none" w:sz="0" w:space="0" w:color="auto"/>
      </w:divBdr>
    </w:div>
    <w:div w:id="450054640">
      <w:bodyDiv w:val="1"/>
      <w:marLeft w:val="0"/>
      <w:marRight w:val="0"/>
      <w:marTop w:val="0"/>
      <w:marBottom w:val="0"/>
      <w:divBdr>
        <w:top w:val="none" w:sz="0" w:space="0" w:color="auto"/>
        <w:left w:val="none" w:sz="0" w:space="0" w:color="auto"/>
        <w:bottom w:val="none" w:sz="0" w:space="0" w:color="auto"/>
        <w:right w:val="none" w:sz="0" w:space="0" w:color="auto"/>
      </w:divBdr>
      <w:divsChild>
        <w:div w:id="407464815">
          <w:marLeft w:val="0"/>
          <w:marRight w:val="0"/>
          <w:marTop w:val="0"/>
          <w:marBottom w:val="0"/>
          <w:divBdr>
            <w:top w:val="none" w:sz="0" w:space="0" w:color="auto"/>
            <w:left w:val="none" w:sz="0" w:space="0" w:color="auto"/>
            <w:bottom w:val="none" w:sz="0" w:space="0" w:color="auto"/>
            <w:right w:val="none" w:sz="0" w:space="0" w:color="auto"/>
          </w:divBdr>
          <w:divsChild>
            <w:div w:id="1853908131">
              <w:marLeft w:val="0"/>
              <w:marRight w:val="0"/>
              <w:marTop w:val="0"/>
              <w:marBottom w:val="0"/>
              <w:divBdr>
                <w:top w:val="none" w:sz="0" w:space="0" w:color="auto"/>
                <w:left w:val="none" w:sz="0" w:space="0" w:color="auto"/>
                <w:bottom w:val="none" w:sz="0" w:space="0" w:color="auto"/>
                <w:right w:val="none" w:sz="0" w:space="0" w:color="auto"/>
              </w:divBdr>
            </w:div>
            <w:div w:id="1969822616">
              <w:marLeft w:val="0"/>
              <w:marRight w:val="0"/>
              <w:marTop w:val="0"/>
              <w:marBottom w:val="0"/>
              <w:divBdr>
                <w:top w:val="none" w:sz="0" w:space="0" w:color="auto"/>
                <w:left w:val="none" w:sz="0" w:space="0" w:color="auto"/>
                <w:bottom w:val="none" w:sz="0" w:space="0" w:color="auto"/>
                <w:right w:val="none" w:sz="0" w:space="0" w:color="auto"/>
              </w:divBdr>
            </w:div>
          </w:divsChild>
        </w:div>
        <w:div w:id="1684548870">
          <w:marLeft w:val="0"/>
          <w:marRight w:val="0"/>
          <w:marTop w:val="0"/>
          <w:marBottom w:val="0"/>
          <w:divBdr>
            <w:top w:val="none" w:sz="0" w:space="0" w:color="auto"/>
            <w:left w:val="none" w:sz="0" w:space="0" w:color="auto"/>
            <w:bottom w:val="none" w:sz="0" w:space="0" w:color="auto"/>
            <w:right w:val="none" w:sz="0" w:space="0" w:color="auto"/>
          </w:divBdr>
          <w:divsChild>
            <w:div w:id="981496468">
              <w:marLeft w:val="0"/>
              <w:marRight w:val="0"/>
              <w:marTop w:val="0"/>
              <w:marBottom w:val="0"/>
              <w:divBdr>
                <w:top w:val="none" w:sz="0" w:space="0" w:color="auto"/>
                <w:left w:val="none" w:sz="0" w:space="0" w:color="auto"/>
                <w:bottom w:val="none" w:sz="0" w:space="0" w:color="auto"/>
                <w:right w:val="none" w:sz="0" w:space="0" w:color="auto"/>
              </w:divBdr>
            </w:div>
            <w:div w:id="821193214">
              <w:marLeft w:val="0"/>
              <w:marRight w:val="0"/>
              <w:marTop w:val="0"/>
              <w:marBottom w:val="0"/>
              <w:divBdr>
                <w:top w:val="none" w:sz="0" w:space="0" w:color="auto"/>
                <w:left w:val="none" w:sz="0" w:space="0" w:color="auto"/>
                <w:bottom w:val="none" w:sz="0" w:space="0" w:color="auto"/>
                <w:right w:val="none" w:sz="0" w:space="0" w:color="auto"/>
              </w:divBdr>
            </w:div>
          </w:divsChild>
        </w:div>
        <w:div w:id="1747219140">
          <w:marLeft w:val="0"/>
          <w:marRight w:val="0"/>
          <w:marTop w:val="0"/>
          <w:marBottom w:val="0"/>
          <w:divBdr>
            <w:top w:val="none" w:sz="0" w:space="0" w:color="auto"/>
            <w:left w:val="none" w:sz="0" w:space="0" w:color="auto"/>
            <w:bottom w:val="none" w:sz="0" w:space="0" w:color="auto"/>
            <w:right w:val="none" w:sz="0" w:space="0" w:color="auto"/>
          </w:divBdr>
          <w:divsChild>
            <w:div w:id="1248493203">
              <w:marLeft w:val="0"/>
              <w:marRight w:val="0"/>
              <w:marTop w:val="0"/>
              <w:marBottom w:val="0"/>
              <w:divBdr>
                <w:top w:val="none" w:sz="0" w:space="0" w:color="auto"/>
                <w:left w:val="none" w:sz="0" w:space="0" w:color="auto"/>
                <w:bottom w:val="none" w:sz="0" w:space="0" w:color="auto"/>
                <w:right w:val="none" w:sz="0" w:space="0" w:color="auto"/>
              </w:divBdr>
            </w:div>
            <w:div w:id="21631614">
              <w:marLeft w:val="0"/>
              <w:marRight w:val="0"/>
              <w:marTop w:val="0"/>
              <w:marBottom w:val="0"/>
              <w:divBdr>
                <w:top w:val="none" w:sz="0" w:space="0" w:color="auto"/>
                <w:left w:val="none" w:sz="0" w:space="0" w:color="auto"/>
                <w:bottom w:val="none" w:sz="0" w:space="0" w:color="auto"/>
                <w:right w:val="none" w:sz="0" w:space="0" w:color="auto"/>
              </w:divBdr>
            </w:div>
          </w:divsChild>
        </w:div>
        <w:div w:id="623148967">
          <w:marLeft w:val="0"/>
          <w:marRight w:val="0"/>
          <w:marTop w:val="0"/>
          <w:marBottom w:val="0"/>
          <w:divBdr>
            <w:top w:val="none" w:sz="0" w:space="0" w:color="auto"/>
            <w:left w:val="none" w:sz="0" w:space="0" w:color="auto"/>
            <w:bottom w:val="none" w:sz="0" w:space="0" w:color="auto"/>
            <w:right w:val="none" w:sz="0" w:space="0" w:color="auto"/>
          </w:divBdr>
          <w:divsChild>
            <w:div w:id="2040885084">
              <w:marLeft w:val="0"/>
              <w:marRight w:val="0"/>
              <w:marTop w:val="0"/>
              <w:marBottom w:val="0"/>
              <w:divBdr>
                <w:top w:val="none" w:sz="0" w:space="0" w:color="auto"/>
                <w:left w:val="none" w:sz="0" w:space="0" w:color="auto"/>
                <w:bottom w:val="none" w:sz="0" w:space="0" w:color="auto"/>
                <w:right w:val="none" w:sz="0" w:space="0" w:color="auto"/>
              </w:divBdr>
            </w:div>
            <w:div w:id="1417359788">
              <w:marLeft w:val="0"/>
              <w:marRight w:val="0"/>
              <w:marTop w:val="0"/>
              <w:marBottom w:val="0"/>
              <w:divBdr>
                <w:top w:val="none" w:sz="0" w:space="0" w:color="auto"/>
                <w:left w:val="none" w:sz="0" w:space="0" w:color="auto"/>
                <w:bottom w:val="none" w:sz="0" w:space="0" w:color="auto"/>
                <w:right w:val="none" w:sz="0" w:space="0" w:color="auto"/>
              </w:divBdr>
            </w:div>
          </w:divsChild>
        </w:div>
        <w:div w:id="1483935424">
          <w:marLeft w:val="0"/>
          <w:marRight w:val="0"/>
          <w:marTop w:val="0"/>
          <w:marBottom w:val="0"/>
          <w:divBdr>
            <w:top w:val="none" w:sz="0" w:space="0" w:color="auto"/>
            <w:left w:val="none" w:sz="0" w:space="0" w:color="auto"/>
            <w:bottom w:val="none" w:sz="0" w:space="0" w:color="auto"/>
            <w:right w:val="none" w:sz="0" w:space="0" w:color="auto"/>
          </w:divBdr>
          <w:divsChild>
            <w:div w:id="1219248270">
              <w:marLeft w:val="0"/>
              <w:marRight w:val="0"/>
              <w:marTop w:val="0"/>
              <w:marBottom w:val="0"/>
              <w:divBdr>
                <w:top w:val="none" w:sz="0" w:space="0" w:color="auto"/>
                <w:left w:val="none" w:sz="0" w:space="0" w:color="auto"/>
                <w:bottom w:val="none" w:sz="0" w:space="0" w:color="auto"/>
                <w:right w:val="none" w:sz="0" w:space="0" w:color="auto"/>
              </w:divBdr>
            </w:div>
            <w:div w:id="777523707">
              <w:marLeft w:val="0"/>
              <w:marRight w:val="0"/>
              <w:marTop w:val="0"/>
              <w:marBottom w:val="0"/>
              <w:divBdr>
                <w:top w:val="none" w:sz="0" w:space="0" w:color="auto"/>
                <w:left w:val="none" w:sz="0" w:space="0" w:color="auto"/>
                <w:bottom w:val="none" w:sz="0" w:space="0" w:color="auto"/>
                <w:right w:val="none" w:sz="0" w:space="0" w:color="auto"/>
              </w:divBdr>
            </w:div>
          </w:divsChild>
        </w:div>
        <w:div w:id="654377115">
          <w:marLeft w:val="0"/>
          <w:marRight w:val="0"/>
          <w:marTop w:val="0"/>
          <w:marBottom w:val="0"/>
          <w:divBdr>
            <w:top w:val="none" w:sz="0" w:space="0" w:color="auto"/>
            <w:left w:val="none" w:sz="0" w:space="0" w:color="auto"/>
            <w:bottom w:val="none" w:sz="0" w:space="0" w:color="auto"/>
            <w:right w:val="none" w:sz="0" w:space="0" w:color="auto"/>
          </w:divBdr>
          <w:divsChild>
            <w:div w:id="1539198698">
              <w:marLeft w:val="0"/>
              <w:marRight w:val="0"/>
              <w:marTop w:val="0"/>
              <w:marBottom w:val="0"/>
              <w:divBdr>
                <w:top w:val="none" w:sz="0" w:space="0" w:color="auto"/>
                <w:left w:val="none" w:sz="0" w:space="0" w:color="auto"/>
                <w:bottom w:val="none" w:sz="0" w:space="0" w:color="auto"/>
                <w:right w:val="none" w:sz="0" w:space="0" w:color="auto"/>
              </w:divBdr>
            </w:div>
            <w:div w:id="2011445620">
              <w:marLeft w:val="0"/>
              <w:marRight w:val="0"/>
              <w:marTop w:val="0"/>
              <w:marBottom w:val="0"/>
              <w:divBdr>
                <w:top w:val="none" w:sz="0" w:space="0" w:color="auto"/>
                <w:left w:val="none" w:sz="0" w:space="0" w:color="auto"/>
                <w:bottom w:val="none" w:sz="0" w:space="0" w:color="auto"/>
                <w:right w:val="none" w:sz="0" w:space="0" w:color="auto"/>
              </w:divBdr>
            </w:div>
          </w:divsChild>
        </w:div>
        <w:div w:id="681128005">
          <w:marLeft w:val="0"/>
          <w:marRight w:val="0"/>
          <w:marTop w:val="0"/>
          <w:marBottom w:val="0"/>
          <w:divBdr>
            <w:top w:val="none" w:sz="0" w:space="0" w:color="auto"/>
            <w:left w:val="none" w:sz="0" w:space="0" w:color="auto"/>
            <w:bottom w:val="none" w:sz="0" w:space="0" w:color="auto"/>
            <w:right w:val="none" w:sz="0" w:space="0" w:color="auto"/>
          </w:divBdr>
          <w:divsChild>
            <w:div w:id="1081369569">
              <w:marLeft w:val="0"/>
              <w:marRight w:val="0"/>
              <w:marTop w:val="0"/>
              <w:marBottom w:val="0"/>
              <w:divBdr>
                <w:top w:val="none" w:sz="0" w:space="0" w:color="auto"/>
                <w:left w:val="none" w:sz="0" w:space="0" w:color="auto"/>
                <w:bottom w:val="none" w:sz="0" w:space="0" w:color="auto"/>
                <w:right w:val="none" w:sz="0" w:space="0" w:color="auto"/>
              </w:divBdr>
            </w:div>
            <w:div w:id="1655718217">
              <w:marLeft w:val="0"/>
              <w:marRight w:val="0"/>
              <w:marTop w:val="0"/>
              <w:marBottom w:val="0"/>
              <w:divBdr>
                <w:top w:val="none" w:sz="0" w:space="0" w:color="auto"/>
                <w:left w:val="none" w:sz="0" w:space="0" w:color="auto"/>
                <w:bottom w:val="none" w:sz="0" w:space="0" w:color="auto"/>
                <w:right w:val="none" w:sz="0" w:space="0" w:color="auto"/>
              </w:divBdr>
            </w:div>
          </w:divsChild>
        </w:div>
        <w:div w:id="1473981831">
          <w:marLeft w:val="0"/>
          <w:marRight w:val="0"/>
          <w:marTop w:val="0"/>
          <w:marBottom w:val="0"/>
          <w:divBdr>
            <w:top w:val="none" w:sz="0" w:space="0" w:color="auto"/>
            <w:left w:val="none" w:sz="0" w:space="0" w:color="auto"/>
            <w:bottom w:val="none" w:sz="0" w:space="0" w:color="auto"/>
            <w:right w:val="none" w:sz="0" w:space="0" w:color="auto"/>
          </w:divBdr>
        </w:div>
      </w:divsChild>
    </w:div>
    <w:div w:id="491795251">
      <w:bodyDiv w:val="1"/>
      <w:marLeft w:val="0"/>
      <w:marRight w:val="0"/>
      <w:marTop w:val="0"/>
      <w:marBottom w:val="0"/>
      <w:divBdr>
        <w:top w:val="none" w:sz="0" w:space="0" w:color="auto"/>
        <w:left w:val="none" w:sz="0" w:space="0" w:color="auto"/>
        <w:bottom w:val="none" w:sz="0" w:space="0" w:color="auto"/>
        <w:right w:val="none" w:sz="0" w:space="0" w:color="auto"/>
      </w:divBdr>
    </w:div>
    <w:div w:id="492339170">
      <w:bodyDiv w:val="1"/>
      <w:marLeft w:val="0"/>
      <w:marRight w:val="0"/>
      <w:marTop w:val="0"/>
      <w:marBottom w:val="0"/>
      <w:divBdr>
        <w:top w:val="none" w:sz="0" w:space="0" w:color="auto"/>
        <w:left w:val="none" w:sz="0" w:space="0" w:color="auto"/>
        <w:bottom w:val="none" w:sz="0" w:space="0" w:color="auto"/>
        <w:right w:val="none" w:sz="0" w:space="0" w:color="auto"/>
      </w:divBdr>
    </w:div>
    <w:div w:id="609511242">
      <w:bodyDiv w:val="1"/>
      <w:marLeft w:val="0"/>
      <w:marRight w:val="0"/>
      <w:marTop w:val="0"/>
      <w:marBottom w:val="0"/>
      <w:divBdr>
        <w:top w:val="none" w:sz="0" w:space="0" w:color="auto"/>
        <w:left w:val="none" w:sz="0" w:space="0" w:color="auto"/>
        <w:bottom w:val="none" w:sz="0" w:space="0" w:color="auto"/>
        <w:right w:val="none" w:sz="0" w:space="0" w:color="auto"/>
      </w:divBdr>
    </w:div>
    <w:div w:id="741757980">
      <w:bodyDiv w:val="1"/>
      <w:marLeft w:val="0"/>
      <w:marRight w:val="0"/>
      <w:marTop w:val="0"/>
      <w:marBottom w:val="0"/>
      <w:divBdr>
        <w:top w:val="none" w:sz="0" w:space="0" w:color="auto"/>
        <w:left w:val="none" w:sz="0" w:space="0" w:color="auto"/>
        <w:bottom w:val="none" w:sz="0" w:space="0" w:color="auto"/>
        <w:right w:val="none" w:sz="0" w:space="0" w:color="auto"/>
      </w:divBdr>
    </w:div>
    <w:div w:id="757481586">
      <w:bodyDiv w:val="1"/>
      <w:marLeft w:val="0"/>
      <w:marRight w:val="0"/>
      <w:marTop w:val="0"/>
      <w:marBottom w:val="0"/>
      <w:divBdr>
        <w:top w:val="none" w:sz="0" w:space="0" w:color="auto"/>
        <w:left w:val="none" w:sz="0" w:space="0" w:color="auto"/>
        <w:bottom w:val="none" w:sz="0" w:space="0" w:color="auto"/>
        <w:right w:val="none" w:sz="0" w:space="0" w:color="auto"/>
      </w:divBdr>
    </w:div>
    <w:div w:id="901021501">
      <w:bodyDiv w:val="1"/>
      <w:marLeft w:val="0"/>
      <w:marRight w:val="0"/>
      <w:marTop w:val="0"/>
      <w:marBottom w:val="0"/>
      <w:divBdr>
        <w:top w:val="none" w:sz="0" w:space="0" w:color="auto"/>
        <w:left w:val="none" w:sz="0" w:space="0" w:color="auto"/>
        <w:bottom w:val="none" w:sz="0" w:space="0" w:color="auto"/>
        <w:right w:val="none" w:sz="0" w:space="0" w:color="auto"/>
      </w:divBdr>
    </w:div>
    <w:div w:id="1015838733">
      <w:bodyDiv w:val="1"/>
      <w:marLeft w:val="0"/>
      <w:marRight w:val="0"/>
      <w:marTop w:val="0"/>
      <w:marBottom w:val="0"/>
      <w:divBdr>
        <w:top w:val="none" w:sz="0" w:space="0" w:color="auto"/>
        <w:left w:val="none" w:sz="0" w:space="0" w:color="auto"/>
        <w:bottom w:val="none" w:sz="0" w:space="0" w:color="auto"/>
        <w:right w:val="none" w:sz="0" w:space="0" w:color="auto"/>
      </w:divBdr>
    </w:div>
    <w:div w:id="1110861460">
      <w:bodyDiv w:val="1"/>
      <w:marLeft w:val="0"/>
      <w:marRight w:val="0"/>
      <w:marTop w:val="0"/>
      <w:marBottom w:val="0"/>
      <w:divBdr>
        <w:top w:val="none" w:sz="0" w:space="0" w:color="auto"/>
        <w:left w:val="none" w:sz="0" w:space="0" w:color="auto"/>
        <w:bottom w:val="none" w:sz="0" w:space="0" w:color="auto"/>
        <w:right w:val="none" w:sz="0" w:space="0" w:color="auto"/>
      </w:divBdr>
      <w:divsChild>
        <w:div w:id="1491554939">
          <w:marLeft w:val="0"/>
          <w:marRight w:val="0"/>
          <w:marTop w:val="0"/>
          <w:marBottom w:val="0"/>
          <w:divBdr>
            <w:top w:val="none" w:sz="0" w:space="0" w:color="auto"/>
            <w:left w:val="none" w:sz="0" w:space="0" w:color="auto"/>
            <w:bottom w:val="none" w:sz="0" w:space="0" w:color="auto"/>
            <w:right w:val="none" w:sz="0" w:space="0" w:color="auto"/>
          </w:divBdr>
          <w:divsChild>
            <w:div w:id="1216621303">
              <w:marLeft w:val="0"/>
              <w:marRight w:val="0"/>
              <w:marTop w:val="0"/>
              <w:marBottom w:val="0"/>
              <w:divBdr>
                <w:top w:val="none" w:sz="0" w:space="0" w:color="auto"/>
                <w:left w:val="none" w:sz="0" w:space="0" w:color="auto"/>
                <w:bottom w:val="none" w:sz="0" w:space="0" w:color="auto"/>
                <w:right w:val="none" w:sz="0" w:space="0" w:color="auto"/>
              </w:divBdr>
            </w:div>
          </w:divsChild>
        </w:div>
        <w:div w:id="2101289020">
          <w:marLeft w:val="0"/>
          <w:marRight w:val="0"/>
          <w:marTop w:val="0"/>
          <w:marBottom w:val="0"/>
          <w:divBdr>
            <w:top w:val="none" w:sz="0" w:space="0" w:color="auto"/>
            <w:left w:val="none" w:sz="0" w:space="0" w:color="auto"/>
            <w:bottom w:val="none" w:sz="0" w:space="0" w:color="auto"/>
            <w:right w:val="none" w:sz="0" w:space="0" w:color="auto"/>
          </w:divBdr>
          <w:divsChild>
            <w:div w:id="14451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0342">
      <w:bodyDiv w:val="1"/>
      <w:marLeft w:val="0"/>
      <w:marRight w:val="0"/>
      <w:marTop w:val="0"/>
      <w:marBottom w:val="0"/>
      <w:divBdr>
        <w:top w:val="none" w:sz="0" w:space="0" w:color="auto"/>
        <w:left w:val="none" w:sz="0" w:space="0" w:color="auto"/>
        <w:bottom w:val="none" w:sz="0" w:space="0" w:color="auto"/>
        <w:right w:val="none" w:sz="0" w:space="0" w:color="auto"/>
      </w:divBdr>
    </w:div>
    <w:div w:id="1322782008">
      <w:bodyDiv w:val="1"/>
      <w:marLeft w:val="0"/>
      <w:marRight w:val="0"/>
      <w:marTop w:val="0"/>
      <w:marBottom w:val="0"/>
      <w:divBdr>
        <w:top w:val="none" w:sz="0" w:space="0" w:color="auto"/>
        <w:left w:val="none" w:sz="0" w:space="0" w:color="auto"/>
        <w:bottom w:val="none" w:sz="0" w:space="0" w:color="auto"/>
        <w:right w:val="none" w:sz="0" w:space="0" w:color="auto"/>
      </w:divBdr>
    </w:div>
    <w:div w:id="1333069741">
      <w:bodyDiv w:val="1"/>
      <w:marLeft w:val="0"/>
      <w:marRight w:val="0"/>
      <w:marTop w:val="0"/>
      <w:marBottom w:val="0"/>
      <w:divBdr>
        <w:top w:val="none" w:sz="0" w:space="0" w:color="auto"/>
        <w:left w:val="none" w:sz="0" w:space="0" w:color="auto"/>
        <w:bottom w:val="none" w:sz="0" w:space="0" w:color="auto"/>
        <w:right w:val="none" w:sz="0" w:space="0" w:color="auto"/>
      </w:divBdr>
      <w:divsChild>
        <w:div w:id="255014830">
          <w:marLeft w:val="0"/>
          <w:marRight w:val="0"/>
          <w:marTop w:val="0"/>
          <w:marBottom w:val="0"/>
          <w:divBdr>
            <w:top w:val="none" w:sz="0" w:space="0" w:color="auto"/>
            <w:left w:val="none" w:sz="0" w:space="0" w:color="auto"/>
            <w:bottom w:val="none" w:sz="0" w:space="0" w:color="auto"/>
            <w:right w:val="none" w:sz="0" w:space="0" w:color="auto"/>
          </w:divBdr>
          <w:divsChild>
            <w:div w:id="976298280">
              <w:marLeft w:val="0"/>
              <w:marRight w:val="0"/>
              <w:marTop w:val="0"/>
              <w:marBottom w:val="0"/>
              <w:divBdr>
                <w:top w:val="none" w:sz="0" w:space="0" w:color="auto"/>
                <w:left w:val="none" w:sz="0" w:space="0" w:color="auto"/>
                <w:bottom w:val="none" w:sz="0" w:space="0" w:color="auto"/>
                <w:right w:val="none" w:sz="0" w:space="0" w:color="auto"/>
              </w:divBdr>
            </w:div>
          </w:divsChild>
        </w:div>
        <w:div w:id="92022935">
          <w:marLeft w:val="0"/>
          <w:marRight w:val="0"/>
          <w:marTop w:val="0"/>
          <w:marBottom w:val="0"/>
          <w:divBdr>
            <w:top w:val="none" w:sz="0" w:space="0" w:color="auto"/>
            <w:left w:val="none" w:sz="0" w:space="0" w:color="auto"/>
            <w:bottom w:val="none" w:sz="0" w:space="0" w:color="auto"/>
            <w:right w:val="none" w:sz="0" w:space="0" w:color="auto"/>
          </w:divBdr>
          <w:divsChild>
            <w:div w:id="6211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550">
      <w:bodyDiv w:val="1"/>
      <w:marLeft w:val="0"/>
      <w:marRight w:val="0"/>
      <w:marTop w:val="0"/>
      <w:marBottom w:val="0"/>
      <w:divBdr>
        <w:top w:val="none" w:sz="0" w:space="0" w:color="auto"/>
        <w:left w:val="none" w:sz="0" w:space="0" w:color="auto"/>
        <w:bottom w:val="none" w:sz="0" w:space="0" w:color="auto"/>
        <w:right w:val="none" w:sz="0" w:space="0" w:color="auto"/>
      </w:divBdr>
    </w:div>
    <w:div w:id="1766924265">
      <w:bodyDiv w:val="1"/>
      <w:marLeft w:val="0"/>
      <w:marRight w:val="0"/>
      <w:marTop w:val="0"/>
      <w:marBottom w:val="0"/>
      <w:divBdr>
        <w:top w:val="none" w:sz="0" w:space="0" w:color="auto"/>
        <w:left w:val="none" w:sz="0" w:space="0" w:color="auto"/>
        <w:bottom w:val="none" w:sz="0" w:space="0" w:color="auto"/>
        <w:right w:val="none" w:sz="0" w:space="0" w:color="auto"/>
      </w:divBdr>
    </w:div>
    <w:div w:id="1839274681">
      <w:bodyDiv w:val="1"/>
      <w:marLeft w:val="0"/>
      <w:marRight w:val="0"/>
      <w:marTop w:val="0"/>
      <w:marBottom w:val="0"/>
      <w:divBdr>
        <w:top w:val="none" w:sz="0" w:space="0" w:color="auto"/>
        <w:left w:val="none" w:sz="0" w:space="0" w:color="auto"/>
        <w:bottom w:val="none" w:sz="0" w:space="0" w:color="auto"/>
        <w:right w:val="none" w:sz="0" w:space="0" w:color="auto"/>
      </w:divBdr>
    </w:div>
    <w:div w:id="1881018716">
      <w:bodyDiv w:val="1"/>
      <w:marLeft w:val="0"/>
      <w:marRight w:val="0"/>
      <w:marTop w:val="0"/>
      <w:marBottom w:val="0"/>
      <w:divBdr>
        <w:top w:val="none" w:sz="0" w:space="0" w:color="auto"/>
        <w:left w:val="none" w:sz="0" w:space="0" w:color="auto"/>
        <w:bottom w:val="none" w:sz="0" w:space="0" w:color="auto"/>
        <w:right w:val="none" w:sz="0" w:space="0" w:color="auto"/>
      </w:divBdr>
      <w:divsChild>
        <w:div w:id="452142223">
          <w:marLeft w:val="0"/>
          <w:marRight w:val="0"/>
          <w:marTop w:val="0"/>
          <w:marBottom w:val="0"/>
          <w:divBdr>
            <w:top w:val="none" w:sz="0" w:space="0" w:color="auto"/>
            <w:left w:val="none" w:sz="0" w:space="0" w:color="auto"/>
            <w:bottom w:val="none" w:sz="0" w:space="0" w:color="auto"/>
            <w:right w:val="none" w:sz="0" w:space="0" w:color="auto"/>
          </w:divBdr>
          <w:divsChild>
            <w:div w:id="1788545409">
              <w:marLeft w:val="0"/>
              <w:marRight w:val="0"/>
              <w:marTop w:val="0"/>
              <w:marBottom w:val="0"/>
              <w:divBdr>
                <w:top w:val="none" w:sz="0" w:space="0" w:color="auto"/>
                <w:left w:val="none" w:sz="0" w:space="0" w:color="auto"/>
                <w:bottom w:val="none" w:sz="0" w:space="0" w:color="auto"/>
                <w:right w:val="none" w:sz="0" w:space="0" w:color="auto"/>
              </w:divBdr>
            </w:div>
          </w:divsChild>
        </w:div>
        <w:div w:id="107240464">
          <w:marLeft w:val="0"/>
          <w:marRight w:val="0"/>
          <w:marTop w:val="0"/>
          <w:marBottom w:val="0"/>
          <w:divBdr>
            <w:top w:val="none" w:sz="0" w:space="0" w:color="auto"/>
            <w:left w:val="none" w:sz="0" w:space="0" w:color="auto"/>
            <w:bottom w:val="none" w:sz="0" w:space="0" w:color="auto"/>
            <w:right w:val="none" w:sz="0" w:space="0" w:color="auto"/>
          </w:divBdr>
          <w:divsChild>
            <w:div w:id="4182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819_2016_pr007.html" TargetMode="External"/><Relationship Id="rId13" Type="http://schemas.openxmlformats.org/officeDocument/2006/relationships/hyperlink" Target="http://www.secretariasenado.gov.co/senado/basedoc/ley_1739_2014_pr001.html" TargetMode="External"/><Relationship Id="rId18" Type="http://schemas.openxmlformats.org/officeDocument/2006/relationships/hyperlink" Target="mailto:lpazos@shd.gov.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ley_1607_2012.html" TargetMode="External"/><Relationship Id="rId17" Type="http://schemas.openxmlformats.org/officeDocument/2006/relationships/hyperlink" Target="https://www.funcionpublica.gov.co/eva/gestornormativo/norma.php?i=14940" TargetMode="External"/><Relationship Id="rId2" Type="http://schemas.openxmlformats.org/officeDocument/2006/relationships/numbering" Target="numbering.xml"/><Relationship Id="rId16" Type="http://schemas.openxmlformats.org/officeDocument/2006/relationships/hyperlink" Target="https://www.funcionpublica.gov.co/eva/gestornormativo/norma.php?i=149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753_2015_pr002.html" TargetMode="External"/><Relationship Id="rId5" Type="http://schemas.openxmlformats.org/officeDocument/2006/relationships/webSettings" Target="webSettings.xml"/><Relationship Id="rId15" Type="http://schemas.openxmlformats.org/officeDocument/2006/relationships/hyperlink" Target="https://www.funcionpublica.gov.co/eva/gestornormativo/norma.php?i=14811" TargetMode="External"/><Relationship Id="rId10" Type="http://schemas.openxmlformats.org/officeDocument/2006/relationships/hyperlink" Target="http://www.secretariasenado.gov.co/senado/basedoc/estatuto_tributario.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819_2016_pr007.html" TargetMode="External"/><Relationship Id="rId14" Type="http://schemas.openxmlformats.org/officeDocument/2006/relationships/hyperlink" Target="http://www.secretariasenado.gov.co/senado/basedoc/ley_1607_2012.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1.udistrital.edu.co:8080/c/document_library/get_file?uuid=26ce313e-acf6-41d6-8f00-89e5bf2b8e18&amp;groupId=11799" TargetMode="External"/><Relationship Id="rId2" Type="http://schemas.openxmlformats.org/officeDocument/2006/relationships/hyperlink" Target="https://www.funcionpublica.gov.co/eva/gestornormativo/norma.php?i=62880" TargetMode="External"/><Relationship Id="rId1" Type="http://schemas.openxmlformats.org/officeDocument/2006/relationships/hyperlink" Target="http://www.secretariasenado.gov.co/senado/basedoc/ley_1819_2016_pr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9242-9D32-448D-8B81-E288D415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4195</Words>
  <Characters>23073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Liliana del Socorro Pérez Alarcon</cp:lastModifiedBy>
  <cp:revision>2</cp:revision>
  <dcterms:created xsi:type="dcterms:W3CDTF">2022-01-26T19:49:00Z</dcterms:created>
  <dcterms:modified xsi:type="dcterms:W3CDTF">2022-01-26T19:49:00Z</dcterms:modified>
</cp:coreProperties>
</file>